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FCD" w:rsidRPr="00427FCD" w:rsidRDefault="00427FCD" w:rsidP="00427FCD">
      <w:pPr>
        <w:rPr>
          <w:b/>
          <w:bCs/>
        </w:rPr>
      </w:pPr>
      <w:proofErr w:type="spellStart"/>
      <w:r w:rsidRPr="00427FCD">
        <w:rPr>
          <w:b/>
          <w:bCs/>
        </w:rPr>
        <w:t>ServerAudit</w:t>
      </w:r>
      <w:proofErr w:type="spellEnd"/>
      <w:r w:rsidRPr="00427FCD">
        <w:rPr>
          <w:b/>
          <w:bCs/>
        </w:rPr>
        <w:t xml:space="preserve"> GDPR Compliance &amp; Readiness Whitepaper 2025</w:t>
      </w:r>
    </w:p>
    <w:p w:rsidR="00427FCD" w:rsidRPr="00427FCD" w:rsidRDefault="00427FCD" w:rsidP="00427FCD">
      <w:r w:rsidRPr="00427FCD">
        <w:rPr>
          <w:rFonts w:ascii="Segoe UI Emoji" w:hAnsi="Segoe UI Emoji" w:cs="Segoe UI Emoji"/>
        </w:rPr>
        <w:t>🌐</w:t>
      </w:r>
      <w:r w:rsidRPr="00427FCD">
        <w:t xml:space="preserve"> </w:t>
      </w:r>
      <w:hyperlink r:id="rId5" w:tgtFrame="_new" w:history="1">
        <w:r w:rsidRPr="00427FCD">
          <w:rPr>
            <w:rStyle w:val="Hyperlink"/>
          </w:rPr>
          <w:t>www.serveraudit.com</w:t>
        </w:r>
      </w:hyperlink>
      <w:r w:rsidRPr="00427FCD">
        <w:t xml:space="preserve"> | </w:t>
      </w:r>
      <w:r w:rsidRPr="00427FCD">
        <w:rPr>
          <w:rFonts w:ascii="Segoe UI Emoji" w:hAnsi="Segoe UI Emoji" w:cs="Segoe UI Emoji"/>
        </w:rPr>
        <w:t>✉️</w:t>
      </w:r>
      <w:r w:rsidRPr="00427FCD">
        <w:t xml:space="preserve"> info@serveraudit.com | © 2025 </w:t>
      </w:r>
      <w:proofErr w:type="spellStart"/>
      <w:r w:rsidRPr="00427FCD">
        <w:t>ServerAudit</w:t>
      </w:r>
      <w:proofErr w:type="spellEnd"/>
      <w:r w:rsidRPr="00427FCD">
        <w:t xml:space="preserve"> – All Rights Reserved</w:t>
      </w:r>
    </w:p>
    <w:p w:rsidR="00427FCD" w:rsidRPr="00427FCD" w:rsidRDefault="00427FCD" w:rsidP="00427FCD">
      <w:r w:rsidRPr="00427FCD">
        <w:pict>
          <v:rect id="_x0000_i1055" style="width:0;height:1.5pt" o:hralign="center" o:hrstd="t" o:hr="t" fillcolor="#a0a0a0" stroked="f"/>
        </w:pict>
      </w:r>
    </w:p>
    <w:p w:rsidR="00427FCD" w:rsidRPr="00427FCD" w:rsidRDefault="00427FCD" w:rsidP="00427FCD">
      <w:pPr>
        <w:rPr>
          <w:b/>
          <w:bCs/>
        </w:rPr>
      </w:pPr>
      <w:r w:rsidRPr="00427FCD">
        <w:rPr>
          <w:b/>
          <w:bCs/>
        </w:rPr>
        <w:t>1. Executive Summary</w:t>
      </w:r>
    </w:p>
    <w:p w:rsidR="00427FCD" w:rsidRPr="00427FCD" w:rsidRDefault="00427FCD" w:rsidP="00427FCD">
      <w:r w:rsidRPr="00427FCD">
        <w:t xml:space="preserve">The </w:t>
      </w:r>
      <w:r w:rsidRPr="00427FCD">
        <w:rPr>
          <w:b/>
          <w:bCs/>
        </w:rPr>
        <w:t>General Data Protection Regulation (GDPR)</w:t>
      </w:r>
      <w:r w:rsidRPr="00427FCD">
        <w:t xml:space="preserve"> represents the most comprehensive privacy framework ever enacted by the European Union, redefining how organizations worldwide handle personal data. It demands demonstrable accountability, transparency, and protection across all processing activities involving EU citizens’ information.</w:t>
      </w:r>
    </w:p>
    <w:p w:rsidR="00427FCD" w:rsidRPr="00427FCD" w:rsidRDefault="00427FCD" w:rsidP="00427FCD">
      <w:r w:rsidRPr="00427FCD">
        <w:t>For global businesses, GDPR compliance is not simply a legal obligation but a trust imperative. Non-compliance can result in penalties up to 4 % of global annual turnover or €20 million, whichever is higher.</w:t>
      </w:r>
    </w:p>
    <w:p w:rsidR="00427FCD" w:rsidRPr="00427FCD" w:rsidRDefault="00427FCD" w:rsidP="00427FCD">
      <w:proofErr w:type="spellStart"/>
      <w:r w:rsidRPr="00427FCD">
        <w:rPr>
          <w:b/>
          <w:bCs/>
        </w:rPr>
        <w:t>ServerAudit</w:t>
      </w:r>
      <w:proofErr w:type="spellEnd"/>
      <w:r w:rsidRPr="00427FCD">
        <w:t xml:space="preserve"> empowers organizations to achieve, maintain, and demonstrate GDPR readiness through structured assessments, evidence-based controls, and continuous monitoring. Our methodology blends compliance, cybersecurity, and automation to create a sustainable privacy culture aligned with ISO 27001 and SOC 2 frameworks.</w:t>
      </w:r>
    </w:p>
    <w:p w:rsidR="00427FCD" w:rsidRPr="00427FCD" w:rsidRDefault="00427FCD" w:rsidP="00427FCD">
      <w:r w:rsidRPr="00427FCD">
        <w:pict>
          <v:rect id="_x0000_i1056" style="width:0;height:1.5pt" o:hralign="center" o:hrstd="t" o:hr="t" fillcolor="#a0a0a0" stroked="f"/>
        </w:pict>
      </w:r>
    </w:p>
    <w:p w:rsidR="00427FCD" w:rsidRPr="00427FCD" w:rsidRDefault="00427FCD" w:rsidP="00427FCD">
      <w:pPr>
        <w:rPr>
          <w:b/>
          <w:bCs/>
        </w:rPr>
      </w:pPr>
      <w:r w:rsidRPr="00427FCD">
        <w:rPr>
          <w:b/>
          <w:bCs/>
        </w:rPr>
        <w:t>2. Understanding GDPR</w:t>
      </w:r>
    </w:p>
    <w:p w:rsidR="00427FCD" w:rsidRPr="00427FCD" w:rsidRDefault="00427FCD" w:rsidP="00427FCD">
      <w:r w:rsidRPr="00427FCD">
        <w:rPr>
          <w:b/>
          <w:bCs/>
        </w:rPr>
        <w:t>Scope and Applicability</w:t>
      </w:r>
      <w:r w:rsidRPr="00427FCD">
        <w:br/>
        <w:t>GDPR applies to any organization that processes personal data of individuals within the EU or EEA, regardless of its physical location. It covers both automated and manual processing, encompassing collection, storage, transmission, and destruction of data.</w:t>
      </w:r>
    </w:p>
    <w:p w:rsidR="00427FCD" w:rsidRPr="00427FCD" w:rsidRDefault="00427FCD" w:rsidP="00427FCD">
      <w:r w:rsidRPr="00427FCD">
        <w:rPr>
          <w:b/>
          <w:bCs/>
        </w:rPr>
        <w:t>Key Objectives</w:t>
      </w:r>
    </w:p>
    <w:p w:rsidR="00427FCD" w:rsidRPr="00427FCD" w:rsidRDefault="00427FCD" w:rsidP="00427FCD">
      <w:pPr>
        <w:numPr>
          <w:ilvl w:val="0"/>
          <w:numId w:val="1"/>
        </w:numPr>
      </w:pPr>
      <w:r w:rsidRPr="00427FCD">
        <w:t>Empower individuals with stronger data-subject rights.</w:t>
      </w:r>
    </w:p>
    <w:p w:rsidR="00427FCD" w:rsidRPr="00427FCD" w:rsidRDefault="00427FCD" w:rsidP="00427FCD">
      <w:pPr>
        <w:numPr>
          <w:ilvl w:val="0"/>
          <w:numId w:val="1"/>
        </w:numPr>
      </w:pPr>
      <w:r w:rsidRPr="00427FCD">
        <w:t>Ensure organizations process personal data lawfully, fairly, and transparently.</w:t>
      </w:r>
    </w:p>
    <w:p w:rsidR="00427FCD" w:rsidRPr="00427FCD" w:rsidRDefault="00427FCD" w:rsidP="00427FCD">
      <w:pPr>
        <w:numPr>
          <w:ilvl w:val="0"/>
          <w:numId w:val="1"/>
        </w:numPr>
      </w:pPr>
      <w:r w:rsidRPr="00427FCD">
        <w:t>Promote accountability and security in every phase of data management.</w:t>
      </w:r>
    </w:p>
    <w:p w:rsidR="00427FCD" w:rsidRPr="00427FCD" w:rsidRDefault="00427FCD" w:rsidP="00427FCD">
      <w:pPr>
        <w:numPr>
          <w:ilvl w:val="0"/>
          <w:numId w:val="1"/>
        </w:numPr>
      </w:pPr>
      <w:r w:rsidRPr="00427FCD">
        <w:t>Harmonize privacy laws across EU member states to simplify international compliance.</w:t>
      </w:r>
    </w:p>
    <w:p w:rsidR="00427FCD" w:rsidRPr="00427FCD" w:rsidRDefault="00427FCD" w:rsidP="00427FCD">
      <w:r w:rsidRPr="00427FCD">
        <w:rPr>
          <w:b/>
          <w:bCs/>
        </w:rPr>
        <w:t>Consequences of Non-Compliance</w:t>
      </w:r>
      <w:r w:rsidRPr="00427FCD">
        <w:br/>
        <w:t>Beyond monetary penalties, reputational damage and loss of consumer trust are often more severe. Regulators increasingly assess whether organizations can demonstrate accountability — not just claim compliance.</w:t>
      </w:r>
    </w:p>
    <w:p w:rsidR="00427FCD" w:rsidRPr="00427FCD" w:rsidRDefault="00427FCD" w:rsidP="00427FCD">
      <w:proofErr w:type="spellStart"/>
      <w:r w:rsidRPr="00427FCD">
        <w:rPr>
          <w:b/>
          <w:bCs/>
        </w:rPr>
        <w:t>ServerAudit’s</w:t>
      </w:r>
      <w:proofErr w:type="spellEnd"/>
      <w:r w:rsidRPr="00427FCD">
        <w:rPr>
          <w:b/>
          <w:bCs/>
        </w:rPr>
        <w:t xml:space="preserve"> Perspective</w:t>
      </w:r>
      <w:r w:rsidRPr="00427FCD">
        <w:br/>
        <w:t xml:space="preserve">GDPR must be approached as an ongoing compliance lifecycle rather than a one-time certification. Our framework helps enterprises move from </w:t>
      </w:r>
      <w:r w:rsidRPr="00427FCD">
        <w:rPr>
          <w:i/>
          <w:iCs/>
        </w:rPr>
        <w:t>policy intent</w:t>
      </w:r>
      <w:r w:rsidRPr="00427FCD">
        <w:t xml:space="preserve"> to </w:t>
      </w:r>
      <w:r w:rsidRPr="00427FCD">
        <w:rPr>
          <w:i/>
          <w:iCs/>
        </w:rPr>
        <w:t>operational assurance</w:t>
      </w:r>
      <w:r w:rsidRPr="00427FCD">
        <w:t xml:space="preserve"> through measurable controls, automated evidence gathering, and periodic internal audits.</w:t>
      </w:r>
    </w:p>
    <w:p w:rsidR="00427FCD" w:rsidRPr="00427FCD" w:rsidRDefault="00427FCD" w:rsidP="00427FCD">
      <w:r w:rsidRPr="00427FCD">
        <w:pict>
          <v:rect id="_x0000_i1057" style="width:0;height:1.5pt" o:hralign="center" o:hrstd="t" o:hr="t" fillcolor="#a0a0a0" stroked="f"/>
        </w:pict>
      </w:r>
    </w:p>
    <w:p w:rsidR="00427FCD" w:rsidRPr="00427FCD" w:rsidRDefault="00427FCD" w:rsidP="00427FCD">
      <w:pPr>
        <w:rPr>
          <w:b/>
          <w:bCs/>
        </w:rPr>
      </w:pPr>
      <w:r w:rsidRPr="00427FCD">
        <w:rPr>
          <w:b/>
          <w:bCs/>
        </w:rPr>
        <w:t xml:space="preserve">3. </w:t>
      </w:r>
      <w:proofErr w:type="spellStart"/>
      <w:r w:rsidRPr="00427FCD">
        <w:rPr>
          <w:b/>
          <w:bCs/>
        </w:rPr>
        <w:t>ServerAudit</w:t>
      </w:r>
      <w:proofErr w:type="spellEnd"/>
      <w:r w:rsidRPr="00427FCD">
        <w:rPr>
          <w:b/>
          <w:bCs/>
        </w:rPr>
        <w:t xml:space="preserve"> GDPR Readiness Framework</w:t>
      </w:r>
    </w:p>
    <w:p w:rsidR="00427FCD" w:rsidRPr="00427FCD" w:rsidRDefault="00427FCD" w:rsidP="00427FCD">
      <w:proofErr w:type="spellStart"/>
      <w:r w:rsidRPr="00427FCD">
        <w:lastRenderedPageBreak/>
        <w:t>ServerAudit</w:t>
      </w:r>
      <w:proofErr w:type="spellEnd"/>
      <w:r w:rsidRPr="00427FCD">
        <w:t xml:space="preserve"> employs a </w:t>
      </w:r>
      <w:r w:rsidRPr="00427FCD">
        <w:rPr>
          <w:b/>
          <w:bCs/>
        </w:rPr>
        <w:t>six-phase readiness model</w:t>
      </w:r>
      <w:r w:rsidRPr="00427FCD">
        <w:t xml:space="preserve"> designed for practical implementation and continuous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0"/>
        <w:gridCol w:w="4815"/>
        <w:gridCol w:w="2571"/>
      </w:tblGrid>
      <w:tr w:rsidR="00427FCD" w:rsidRPr="00427FCD">
        <w:trPr>
          <w:tblHeader/>
          <w:tblCellSpacing w:w="15" w:type="dxa"/>
        </w:trPr>
        <w:tc>
          <w:tcPr>
            <w:tcW w:w="0" w:type="auto"/>
            <w:vAlign w:val="center"/>
            <w:hideMark/>
          </w:tcPr>
          <w:p w:rsidR="00427FCD" w:rsidRPr="00427FCD" w:rsidRDefault="00427FCD" w:rsidP="00427FCD">
            <w:pPr>
              <w:rPr>
                <w:b/>
                <w:bCs/>
              </w:rPr>
            </w:pPr>
            <w:r w:rsidRPr="00427FCD">
              <w:rPr>
                <w:b/>
                <w:bCs/>
              </w:rPr>
              <w:t>Phase</w:t>
            </w:r>
          </w:p>
        </w:tc>
        <w:tc>
          <w:tcPr>
            <w:tcW w:w="0" w:type="auto"/>
            <w:vAlign w:val="center"/>
            <w:hideMark/>
          </w:tcPr>
          <w:p w:rsidR="00427FCD" w:rsidRPr="00427FCD" w:rsidRDefault="00427FCD" w:rsidP="00427FCD">
            <w:pPr>
              <w:rPr>
                <w:b/>
                <w:bCs/>
              </w:rPr>
            </w:pPr>
            <w:r w:rsidRPr="00427FCD">
              <w:rPr>
                <w:b/>
                <w:bCs/>
              </w:rPr>
              <w:t>Objective</w:t>
            </w:r>
          </w:p>
        </w:tc>
        <w:tc>
          <w:tcPr>
            <w:tcW w:w="0" w:type="auto"/>
            <w:vAlign w:val="center"/>
            <w:hideMark/>
          </w:tcPr>
          <w:p w:rsidR="00427FCD" w:rsidRPr="00427FCD" w:rsidRDefault="00427FCD" w:rsidP="00427FCD">
            <w:pPr>
              <w:rPr>
                <w:b/>
                <w:bCs/>
              </w:rPr>
            </w:pPr>
            <w:r w:rsidRPr="00427FCD">
              <w:rPr>
                <w:b/>
                <w:bCs/>
              </w:rPr>
              <w:t>Typical Deliverables</w:t>
            </w:r>
          </w:p>
        </w:tc>
      </w:tr>
      <w:tr w:rsidR="00427FCD" w:rsidRPr="00427FCD">
        <w:trPr>
          <w:tblCellSpacing w:w="15" w:type="dxa"/>
        </w:trPr>
        <w:tc>
          <w:tcPr>
            <w:tcW w:w="0" w:type="auto"/>
            <w:vAlign w:val="center"/>
            <w:hideMark/>
          </w:tcPr>
          <w:p w:rsidR="00427FCD" w:rsidRPr="00427FCD" w:rsidRDefault="00427FCD" w:rsidP="00427FCD">
            <w:r w:rsidRPr="00427FCD">
              <w:rPr>
                <w:b/>
                <w:bCs/>
              </w:rPr>
              <w:t>1. Discovery</w:t>
            </w:r>
          </w:p>
        </w:tc>
        <w:tc>
          <w:tcPr>
            <w:tcW w:w="0" w:type="auto"/>
            <w:vAlign w:val="center"/>
            <w:hideMark/>
          </w:tcPr>
          <w:p w:rsidR="00427FCD" w:rsidRPr="00427FCD" w:rsidRDefault="00427FCD" w:rsidP="00427FCD">
            <w:r w:rsidRPr="00427FCD">
              <w:t>Identify personal-data assets, data flows, and systems across on-premises, cloud, and hybrid environments.</w:t>
            </w:r>
          </w:p>
        </w:tc>
        <w:tc>
          <w:tcPr>
            <w:tcW w:w="0" w:type="auto"/>
            <w:vAlign w:val="center"/>
            <w:hideMark/>
          </w:tcPr>
          <w:p w:rsidR="00427FCD" w:rsidRPr="00427FCD" w:rsidRDefault="00427FCD" w:rsidP="00427FCD">
            <w:r w:rsidRPr="00427FCD">
              <w:t>Data-inventory register, data-flow diagrams</w:t>
            </w:r>
          </w:p>
        </w:tc>
      </w:tr>
      <w:tr w:rsidR="00427FCD" w:rsidRPr="00427FCD">
        <w:trPr>
          <w:tblCellSpacing w:w="15" w:type="dxa"/>
        </w:trPr>
        <w:tc>
          <w:tcPr>
            <w:tcW w:w="0" w:type="auto"/>
            <w:vAlign w:val="center"/>
            <w:hideMark/>
          </w:tcPr>
          <w:p w:rsidR="00427FCD" w:rsidRPr="00427FCD" w:rsidRDefault="00427FCD" w:rsidP="00427FCD">
            <w:r w:rsidRPr="00427FCD">
              <w:rPr>
                <w:b/>
                <w:bCs/>
              </w:rPr>
              <w:t>2. Assessment</w:t>
            </w:r>
          </w:p>
        </w:tc>
        <w:tc>
          <w:tcPr>
            <w:tcW w:w="0" w:type="auto"/>
            <w:vAlign w:val="center"/>
            <w:hideMark/>
          </w:tcPr>
          <w:p w:rsidR="00427FCD" w:rsidRPr="00427FCD" w:rsidRDefault="00427FCD" w:rsidP="00427FCD">
            <w:r w:rsidRPr="00427FCD">
              <w:t>Evaluate current practices against GDPR Articles 5–49 and ISO 27001 Annex A controls.</w:t>
            </w:r>
          </w:p>
        </w:tc>
        <w:tc>
          <w:tcPr>
            <w:tcW w:w="0" w:type="auto"/>
            <w:vAlign w:val="center"/>
            <w:hideMark/>
          </w:tcPr>
          <w:p w:rsidR="00427FCD" w:rsidRPr="00427FCD" w:rsidRDefault="00427FCD" w:rsidP="00427FCD">
            <w:r w:rsidRPr="00427FCD">
              <w:t>Compliance scorecard, initial findings report</w:t>
            </w:r>
          </w:p>
        </w:tc>
      </w:tr>
      <w:tr w:rsidR="00427FCD" w:rsidRPr="00427FCD">
        <w:trPr>
          <w:tblCellSpacing w:w="15" w:type="dxa"/>
        </w:trPr>
        <w:tc>
          <w:tcPr>
            <w:tcW w:w="0" w:type="auto"/>
            <w:vAlign w:val="center"/>
            <w:hideMark/>
          </w:tcPr>
          <w:p w:rsidR="00427FCD" w:rsidRPr="00427FCD" w:rsidRDefault="00427FCD" w:rsidP="00427FCD">
            <w:r w:rsidRPr="00427FCD">
              <w:rPr>
                <w:b/>
                <w:bCs/>
              </w:rPr>
              <w:t>3. Gap Analysis</w:t>
            </w:r>
          </w:p>
        </w:tc>
        <w:tc>
          <w:tcPr>
            <w:tcW w:w="0" w:type="auto"/>
            <w:vAlign w:val="center"/>
            <w:hideMark/>
          </w:tcPr>
          <w:p w:rsidR="00427FCD" w:rsidRPr="00427FCD" w:rsidRDefault="00427FCD" w:rsidP="00427FCD">
            <w:r w:rsidRPr="00427FCD">
              <w:t>Quantify compliance gaps and prioritize remediation tasks by risk impact and feasibility.</w:t>
            </w:r>
          </w:p>
        </w:tc>
        <w:tc>
          <w:tcPr>
            <w:tcW w:w="0" w:type="auto"/>
            <w:vAlign w:val="center"/>
            <w:hideMark/>
          </w:tcPr>
          <w:p w:rsidR="00427FCD" w:rsidRPr="00427FCD" w:rsidRDefault="00427FCD" w:rsidP="00427FCD">
            <w:r w:rsidRPr="00427FCD">
              <w:t>Gap matrix, risk register</w:t>
            </w:r>
          </w:p>
        </w:tc>
      </w:tr>
      <w:tr w:rsidR="00427FCD" w:rsidRPr="00427FCD">
        <w:trPr>
          <w:tblCellSpacing w:w="15" w:type="dxa"/>
        </w:trPr>
        <w:tc>
          <w:tcPr>
            <w:tcW w:w="0" w:type="auto"/>
            <w:vAlign w:val="center"/>
            <w:hideMark/>
          </w:tcPr>
          <w:p w:rsidR="00427FCD" w:rsidRPr="00427FCD" w:rsidRDefault="00427FCD" w:rsidP="00427FCD">
            <w:r w:rsidRPr="00427FCD">
              <w:rPr>
                <w:b/>
                <w:bCs/>
              </w:rPr>
              <w:t>4. Implementation</w:t>
            </w:r>
          </w:p>
        </w:tc>
        <w:tc>
          <w:tcPr>
            <w:tcW w:w="0" w:type="auto"/>
            <w:vAlign w:val="center"/>
            <w:hideMark/>
          </w:tcPr>
          <w:p w:rsidR="00427FCD" w:rsidRPr="00427FCD" w:rsidRDefault="00427FCD" w:rsidP="00427FCD">
            <w:r w:rsidRPr="00427FCD">
              <w:t>Deploy technical and organizational safeguards: encryption, access control, consent management.</w:t>
            </w:r>
          </w:p>
        </w:tc>
        <w:tc>
          <w:tcPr>
            <w:tcW w:w="0" w:type="auto"/>
            <w:vAlign w:val="center"/>
            <w:hideMark/>
          </w:tcPr>
          <w:p w:rsidR="00427FCD" w:rsidRPr="00427FCD" w:rsidRDefault="00427FCD" w:rsidP="00427FCD">
            <w:r w:rsidRPr="00427FCD">
              <w:t>Updated policies, control deployment evidence</w:t>
            </w:r>
          </w:p>
        </w:tc>
      </w:tr>
      <w:tr w:rsidR="00427FCD" w:rsidRPr="00427FCD">
        <w:trPr>
          <w:tblCellSpacing w:w="15" w:type="dxa"/>
        </w:trPr>
        <w:tc>
          <w:tcPr>
            <w:tcW w:w="0" w:type="auto"/>
            <w:vAlign w:val="center"/>
            <w:hideMark/>
          </w:tcPr>
          <w:p w:rsidR="00427FCD" w:rsidRPr="00427FCD" w:rsidRDefault="00427FCD" w:rsidP="00427FCD">
            <w:r w:rsidRPr="00427FCD">
              <w:rPr>
                <w:b/>
                <w:bCs/>
              </w:rPr>
              <w:t>5. Validation</w:t>
            </w:r>
          </w:p>
        </w:tc>
        <w:tc>
          <w:tcPr>
            <w:tcW w:w="0" w:type="auto"/>
            <w:vAlign w:val="center"/>
            <w:hideMark/>
          </w:tcPr>
          <w:p w:rsidR="00427FCD" w:rsidRPr="00427FCD" w:rsidRDefault="00427FCD" w:rsidP="00427FCD">
            <w:r w:rsidRPr="00427FCD">
              <w:t>Conduct internal audit and management review; prepare documentation for external attestation.</w:t>
            </w:r>
          </w:p>
        </w:tc>
        <w:tc>
          <w:tcPr>
            <w:tcW w:w="0" w:type="auto"/>
            <w:vAlign w:val="center"/>
            <w:hideMark/>
          </w:tcPr>
          <w:p w:rsidR="00427FCD" w:rsidRPr="00427FCD" w:rsidRDefault="00427FCD" w:rsidP="00427FCD">
            <w:r w:rsidRPr="00427FCD">
              <w:t>Audit report, corrective-action plan</w:t>
            </w:r>
          </w:p>
        </w:tc>
      </w:tr>
      <w:tr w:rsidR="00427FCD" w:rsidRPr="00427FCD">
        <w:trPr>
          <w:tblCellSpacing w:w="15" w:type="dxa"/>
        </w:trPr>
        <w:tc>
          <w:tcPr>
            <w:tcW w:w="0" w:type="auto"/>
            <w:vAlign w:val="center"/>
            <w:hideMark/>
          </w:tcPr>
          <w:p w:rsidR="00427FCD" w:rsidRPr="00427FCD" w:rsidRDefault="00427FCD" w:rsidP="00427FCD">
            <w:r w:rsidRPr="00427FCD">
              <w:rPr>
                <w:b/>
                <w:bCs/>
              </w:rPr>
              <w:t>6. Maintenance</w:t>
            </w:r>
          </w:p>
        </w:tc>
        <w:tc>
          <w:tcPr>
            <w:tcW w:w="0" w:type="auto"/>
            <w:vAlign w:val="center"/>
            <w:hideMark/>
          </w:tcPr>
          <w:p w:rsidR="00427FCD" w:rsidRPr="00427FCD" w:rsidRDefault="00427FCD" w:rsidP="00427FCD">
            <w:r w:rsidRPr="00427FCD">
              <w:t>Establish continuous-monitoring dashboards and periodic policy reviews.</w:t>
            </w:r>
          </w:p>
        </w:tc>
        <w:tc>
          <w:tcPr>
            <w:tcW w:w="0" w:type="auto"/>
            <w:vAlign w:val="center"/>
            <w:hideMark/>
          </w:tcPr>
          <w:p w:rsidR="00427FCD" w:rsidRPr="00427FCD" w:rsidRDefault="00427FCD" w:rsidP="00427FCD">
            <w:r w:rsidRPr="00427FCD">
              <w:t>Quarterly metrics, continuous compliance reports</w:t>
            </w:r>
          </w:p>
        </w:tc>
      </w:tr>
    </w:tbl>
    <w:p w:rsidR="00427FCD" w:rsidRPr="00427FCD" w:rsidRDefault="00427FCD" w:rsidP="00427FCD">
      <w:r w:rsidRPr="00427FCD">
        <w:t>Each phase is guided by clear deliverables and mapped to GDPR Articles, ensuring traceability and readiness for supervisory-authority review.</w:t>
      </w:r>
    </w:p>
    <w:p w:rsidR="00427FCD" w:rsidRPr="00427FCD" w:rsidRDefault="00427FCD" w:rsidP="00427FCD">
      <w:proofErr w:type="spellStart"/>
      <w:r w:rsidRPr="00427FCD">
        <w:t>ServerAudit</w:t>
      </w:r>
      <w:proofErr w:type="spellEnd"/>
      <w:r w:rsidRPr="00427FCD">
        <w:t xml:space="preserve"> consultants tailor the framework for industry-specific contexts — healthcare, fintech, SaaS, and managed-service providers — combining technical expertise with regulatory insight.</w:t>
      </w:r>
    </w:p>
    <w:p w:rsidR="00427FCD" w:rsidRPr="00427FCD" w:rsidRDefault="00427FCD" w:rsidP="00427FCD">
      <w:r w:rsidRPr="00427FCD">
        <w:pict>
          <v:rect id="_x0000_i1058" style="width:0;height:1.5pt" o:hralign="center" o:hrstd="t" o:hr="t" fillcolor="#a0a0a0" stroked="f"/>
        </w:pict>
      </w:r>
    </w:p>
    <w:p w:rsidR="00427FCD" w:rsidRPr="00427FCD" w:rsidRDefault="00427FCD" w:rsidP="00427FCD">
      <w:pPr>
        <w:rPr>
          <w:b/>
          <w:bCs/>
        </w:rPr>
      </w:pPr>
      <w:r w:rsidRPr="00427FCD">
        <w:rPr>
          <w:b/>
          <w:bCs/>
        </w:rPr>
        <w:t>4. GDPR Principles &amp; Legal Foundations</w:t>
      </w:r>
    </w:p>
    <w:p w:rsidR="00427FCD" w:rsidRPr="00427FCD" w:rsidRDefault="00427FCD" w:rsidP="00427FCD">
      <w:r w:rsidRPr="00427FCD">
        <w:t xml:space="preserve">GDPR is built upon </w:t>
      </w:r>
      <w:r w:rsidRPr="00427FCD">
        <w:rPr>
          <w:b/>
          <w:bCs/>
        </w:rPr>
        <w:t>seven fundamental principles</w:t>
      </w:r>
      <w:r w:rsidRPr="00427FCD">
        <w:t xml:space="preserve"> outlined in Article 5. These principles define the core philosophy of data protection and serve as the foundation for all compliance controls.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4"/>
        <w:gridCol w:w="6652"/>
      </w:tblGrid>
      <w:tr w:rsidR="00427FCD" w:rsidRPr="00427FCD">
        <w:trPr>
          <w:tblHeader/>
          <w:tblCellSpacing w:w="15" w:type="dxa"/>
        </w:trPr>
        <w:tc>
          <w:tcPr>
            <w:tcW w:w="0" w:type="auto"/>
            <w:vAlign w:val="center"/>
            <w:hideMark/>
          </w:tcPr>
          <w:p w:rsidR="00427FCD" w:rsidRPr="00427FCD" w:rsidRDefault="00427FCD" w:rsidP="00427FCD">
            <w:pPr>
              <w:rPr>
                <w:b/>
                <w:bCs/>
              </w:rPr>
            </w:pPr>
            <w:r w:rsidRPr="00427FCD">
              <w:rPr>
                <w:b/>
                <w:bCs/>
              </w:rPr>
              <w:t>Principle</w:t>
            </w:r>
          </w:p>
        </w:tc>
        <w:tc>
          <w:tcPr>
            <w:tcW w:w="0" w:type="auto"/>
            <w:vAlign w:val="center"/>
            <w:hideMark/>
          </w:tcPr>
          <w:p w:rsidR="00427FCD" w:rsidRPr="00427FCD" w:rsidRDefault="00427FCD" w:rsidP="00427FCD">
            <w:pPr>
              <w:rPr>
                <w:b/>
                <w:bCs/>
              </w:rPr>
            </w:pPr>
            <w:r w:rsidRPr="00427FCD">
              <w:rPr>
                <w:b/>
                <w:bCs/>
              </w:rPr>
              <w:t>Description</w:t>
            </w:r>
          </w:p>
        </w:tc>
      </w:tr>
      <w:tr w:rsidR="00427FCD" w:rsidRPr="00427FCD">
        <w:trPr>
          <w:tblCellSpacing w:w="15" w:type="dxa"/>
        </w:trPr>
        <w:tc>
          <w:tcPr>
            <w:tcW w:w="0" w:type="auto"/>
            <w:vAlign w:val="center"/>
            <w:hideMark/>
          </w:tcPr>
          <w:p w:rsidR="00427FCD" w:rsidRPr="00427FCD" w:rsidRDefault="00427FCD" w:rsidP="00427FCD">
            <w:r w:rsidRPr="00427FCD">
              <w:rPr>
                <w:b/>
                <w:bCs/>
              </w:rPr>
              <w:t>1. Lawfulness, Fairness &amp; Transparency</w:t>
            </w:r>
          </w:p>
        </w:tc>
        <w:tc>
          <w:tcPr>
            <w:tcW w:w="0" w:type="auto"/>
            <w:vAlign w:val="center"/>
            <w:hideMark/>
          </w:tcPr>
          <w:p w:rsidR="00427FCD" w:rsidRPr="00427FCD" w:rsidRDefault="00427FCD" w:rsidP="00427FCD">
            <w:r w:rsidRPr="00427FCD">
              <w:t>Personal data must be processed lawfully and in a manner that is fair and transparent to the data subject.</w:t>
            </w:r>
          </w:p>
        </w:tc>
      </w:tr>
      <w:tr w:rsidR="00427FCD" w:rsidRPr="00427FCD">
        <w:trPr>
          <w:tblCellSpacing w:w="15" w:type="dxa"/>
        </w:trPr>
        <w:tc>
          <w:tcPr>
            <w:tcW w:w="0" w:type="auto"/>
            <w:vAlign w:val="center"/>
            <w:hideMark/>
          </w:tcPr>
          <w:p w:rsidR="00427FCD" w:rsidRPr="00427FCD" w:rsidRDefault="00427FCD" w:rsidP="00427FCD">
            <w:r w:rsidRPr="00427FCD">
              <w:rPr>
                <w:b/>
                <w:bCs/>
              </w:rPr>
              <w:t>2. Purpose Limitation</w:t>
            </w:r>
          </w:p>
        </w:tc>
        <w:tc>
          <w:tcPr>
            <w:tcW w:w="0" w:type="auto"/>
            <w:vAlign w:val="center"/>
            <w:hideMark/>
          </w:tcPr>
          <w:p w:rsidR="00427FCD" w:rsidRPr="00427FCD" w:rsidRDefault="00427FCD" w:rsidP="00427FCD">
            <w:r w:rsidRPr="00427FCD">
              <w:t>Data must be collected for explicit, legitimate purposes and not further processed in a way incompatible with those purposes.</w:t>
            </w:r>
          </w:p>
        </w:tc>
      </w:tr>
      <w:tr w:rsidR="00427FCD" w:rsidRPr="00427FCD">
        <w:trPr>
          <w:tblCellSpacing w:w="15" w:type="dxa"/>
        </w:trPr>
        <w:tc>
          <w:tcPr>
            <w:tcW w:w="0" w:type="auto"/>
            <w:vAlign w:val="center"/>
            <w:hideMark/>
          </w:tcPr>
          <w:p w:rsidR="00427FCD" w:rsidRPr="00427FCD" w:rsidRDefault="00427FCD" w:rsidP="00427FCD">
            <w:r w:rsidRPr="00427FCD">
              <w:rPr>
                <w:b/>
                <w:bCs/>
              </w:rPr>
              <w:t>3. Data Minimization</w:t>
            </w:r>
          </w:p>
        </w:tc>
        <w:tc>
          <w:tcPr>
            <w:tcW w:w="0" w:type="auto"/>
            <w:vAlign w:val="center"/>
            <w:hideMark/>
          </w:tcPr>
          <w:p w:rsidR="00427FCD" w:rsidRPr="00427FCD" w:rsidRDefault="00427FCD" w:rsidP="00427FCD">
            <w:r w:rsidRPr="00427FCD">
              <w:t>Only data that is adequate, relevant, and necessary for the intended purpose may be collected.</w:t>
            </w:r>
          </w:p>
        </w:tc>
      </w:tr>
      <w:tr w:rsidR="00427FCD" w:rsidRPr="00427FCD">
        <w:trPr>
          <w:tblCellSpacing w:w="15" w:type="dxa"/>
        </w:trPr>
        <w:tc>
          <w:tcPr>
            <w:tcW w:w="0" w:type="auto"/>
            <w:vAlign w:val="center"/>
            <w:hideMark/>
          </w:tcPr>
          <w:p w:rsidR="00427FCD" w:rsidRPr="00427FCD" w:rsidRDefault="00427FCD" w:rsidP="00427FCD">
            <w:r w:rsidRPr="00427FCD">
              <w:rPr>
                <w:b/>
                <w:bCs/>
              </w:rPr>
              <w:t>4. Accuracy</w:t>
            </w:r>
          </w:p>
        </w:tc>
        <w:tc>
          <w:tcPr>
            <w:tcW w:w="0" w:type="auto"/>
            <w:vAlign w:val="center"/>
            <w:hideMark/>
          </w:tcPr>
          <w:p w:rsidR="00427FCD" w:rsidRPr="00427FCD" w:rsidRDefault="00427FCD" w:rsidP="00427FCD">
            <w:r w:rsidRPr="00427FCD">
              <w:t>Reasonable steps must ensure personal data is accurate and kept up to date.</w:t>
            </w:r>
          </w:p>
        </w:tc>
      </w:tr>
      <w:tr w:rsidR="00427FCD" w:rsidRPr="00427FCD">
        <w:trPr>
          <w:tblCellSpacing w:w="15" w:type="dxa"/>
        </w:trPr>
        <w:tc>
          <w:tcPr>
            <w:tcW w:w="0" w:type="auto"/>
            <w:vAlign w:val="center"/>
            <w:hideMark/>
          </w:tcPr>
          <w:p w:rsidR="00427FCD" w:rsidRPr="00427FCD" w:rsidRDefault="00427FCD" w:rsidP="00427FCD">
            <w:r w:rsidRPr="00427FCD">
              <w:rPr>
                <w:b/>
                <w:bCs/>
              </w:rPr>
              <w:lastRenderedPageBreak/>
              <w:t>5. Storage Limitation</w:t>
            </w:r>
          </w:p>
        </w:tc>
        <w:tc>
          <w:tcPr>
            <w:tcW w:w="0" w:type="auto"/>
            <w:vAlign w:val="center"/>
            <w:hideMark/>
          </w:tcPr>
          <w:p w:rsidR="00427FCD" w:rsidRPr="00427FCD" w:rsidRDefault="00427FCD" w:rsidP="00427FCD">
            <w:r w:rsidRPr="00427FCD">
              <w:t>Personal data must not be retained longer than necessary for the purpose for which it was collected.</w:t>
            </w:r>
          </w:p>
        </w:tc>
      </w:tr>
      <w:tr w:rsidR="00427FCD" w:rsidRPr="00427FCD">
        <w:trPr>
          <w:tblCellSpacing w:w="15" w:type="dxa"/>
        </w:trPr>
        <w:tc>
          <w:tcPr>
            <w:tcW w:w="0" w:type="auto"/>
            <w:vAlign w:val="center"/>
            <w:hideMark/>
          </w:tcPr>
          <w:p w:rsidR="00427FCD" w:rsidRPr="00427FCD" w:rsidRDefault="00427FCD" w:rsidP="00427FCD">
            <w:r w:rsidRPr="00427FCD">
              <w:rPr>
                <w:b/>
                <w:bCs/>
              </w:rPr>
              <w:t>6. Integrity &amp; Confidentiality</w:t>
            </w:r>
          </w:p>
        </w:tc>
        <w:tc>
          <w:tcPr>
            <w:tcW w:w="0" w:type="auto"/>
            <w:vAlign w:val="center"/>
            <w:hideMark/>
          </w:tcPr>
          <w:p w:rsidR="00427FCD" w:rsidRPr="00427FCD" w:rsidRDefault="00427FCD" w:rsidP="00427FCD">
            <w:r w:rsidRPr="00427FCD">
              <w:t>Data must be processed in a manner that ensures appropriate security, including protection against unauthorized processing, accidental loss, or damage.</w:t>
            </w:r>
          </w:p>
        </w:tc>
      </w:tr>
      <w:tr w:rsidR="00427FCD" w:rsidRPr="00427FCD">
        <w:trPr>
          <w:tblCellSpacing w:w="15" w:type="dxa"/>
        </w:trPr>
        <w:tc>
          <w:tcPr>
            <w:tcW w:w="0" w:type="auto"/>
            <w:vAlign w:val="center"/>
            <w:hideMark/>
          </w:tcPr>
          <w:p w:rsidR="00427FCD" w:rsidRPr="00427FCD" w:rsidRDefault="00427FCD" w:rsidP="00427FCD">
            <w:r w:rsidRPr="00427FCD">
              <w:rPr>
                <w:b/>
                <w:bCs/>
              </w:rPr>
              <w:t>7. Accountability</w:t>
            </w:r>
          </w:p>
        </w:tc>
        <w:tc>
          <w:tcPr>
            <w:tcW w:w="0" w:type="auto"/>
            <w:vAlign w:val="center"/>
            <w:hideMark/>
          </w:tcPr>
          <w:p w:rsidR="00427FCD" w:rsidRPr="00427FCD" w:rsidRDefault="00427FCD" w:rsidP="00427FCD">
            <w:r w:rsidRPr="00427FCD">
              <w:t>Controllers are responsible for, and must be able to demonstrate, compliance with all the above principles.</w:t>
            </w:r>
          </w:p>
        </w:tc>
      </w:tr>
    </w:tbl>
    <w:p w:rsidR="00427FCD" w:rsidRPr="00427FCD" w:rsidRDefault="00427FCD" w:rsidP="00427FCD">
      <w:proofErr w:type="spellStart"/>
      <w:r w:rsidRPr="00427FCD">
        <w:rPr>
          <w:b/>
          <w:bCs/>
        </w:rPr>
        <w:t>ServerAudit</w:t>
      </w:r>
      <w:proofErr w:type="spellEnd"/>
      <w:r w:rsidRPr="00427FCD">
        <w:rPr>
          <w:b/>
          <w:bCs/>
        </w:rPr>
        <w:t xml:space="preserve"> Implementation Approach</w:t>
      </w:r>
    </w:p>
    <w:p w:rsidR="00427FCD" w:rsidRPr="00427FCD" w:rsidRDefault="00427FCD" w:rsidP="00427FCD">
      <w:pPr>
        <w:numPr>
          <w:ilvl w:val="0"/>
          <w:numId w:val="2"/>
        </w:numPr>
      </w:pPr>
      <w:r w:rsidRPr="00427FCD">
        <w:t>Translate each principle into measurable controls (policies, logs, evidence).</w:t>
      </w:r>
    </w:p>
    <w:p w:rsidR="00427FCD" w:rsidRPr="00427FCD" w:rsidRDefault="00427FCD" w:rsidP="00427FCD">
      <w:pPr>
        <w:numPr>
          <w:ilvl w:val="0"/>
          <w:numId w:val="2"/>
        </w:numPr>
      </w:pPr>
      <w:r w:rsidRPr="00427FCD">
        <w:t>Integrate compliance tracking into existing GRC or SIEM tools.</w:t>
      </w:r>
    </w:p>
    <w:p w:rsidR="00427FCD" w:rsidRPr="00427FCD" w:rsidRDefault="00427FCD" w:rsidP="00427FCD">
      <w:pPr>
        <w:numPr>
          <w:ilvl w:val="0"/>
          <w:numId w:val="2"/>
        </w:numPr>
      </w:pPr>
      <w:r w:rsidRPr="00427FCD">
        <w:t>Provide ongoing staff training and awareness campaigns to reinforce data-protection culture.</w:t>
      </w:r>
    </w:p>
    <w:p w:rsidR="00427FCD" w:rsidRPr="00427FCD" w:rsidRDefault="00427FCD" w:rsidP="00427FCD">
      <w:r w:rsidRPr="00427FCD">
        <w:pict>
          <v:rect id="_x0000_i1059" style="width:0;height:1.5pt" o:hralign="center" o:hrstd="t" o:hr="t" fillcolor="#a0a0a0" stroked="f"/>
        </w:pict>
      </w:r>
    </w:p>
    <w:p w:rsidR="00427FCD" w:rsidRPr="00427FCD" w:rsidRDefault="00427FCD" w:rsidP="00427FCD">
      <w:r w:rsidRPr="00427FCD">
        <w:rPr>
          <w:i/>
          <w:iCs/>
        </w:rPr>
        <w:t>(End of Part 1 — continues in Part 2: Methodology → Case Study)</w:t>
      </w:r>
    </w:p>
    <w:p w:rsidR="00427FCD" w:rsidRPr="00427FCD" w:rsidRDefault="00427FCD" w:rsidP="00427FCD">
      <w:pPr>
        <w:rPr>
          <w:b/>
          <w:bCs/>
        </w:rPr>
      </w:pPr>
      <w:r w:rsidRPr="00427FCD">
        <w:rPr>
          <w:b/>
          <w:bCs/>
        </w:rPr>
        <w:t>5. Roles and Responsibilities</w:t>
      </w:r>
    </w:p>
    <w:p w:rsidR="00427FCD" w:rsidRPr="00427FCD" w:rsidRDefault="00427FCD" w:rsidP="00427FCD">
      <w:r w:rsidRPr="00427FCD">
        <w:rPr>
          <w:b/>
          <w:bCs/>
        </w:rPr>
        <w:t>Data Controller vs. Data Processor</w:t>
      </w:r>
    </w:p>
    <w:p w:rsidR="00427FCD" w:rsidRPr="00427FCD" w:rsidRDefault="00427FCD" w:rsidP="00427FCD">
      <w:pPr>
        <w:numPr>
          <w:ilvl w:val="0"/>
          <w:numId w:val="3"/>
        </w:numPr>
      </w:pPr>
      <w:r w:rsidRPr="00427FCD">
        <w:rPr>
          <w:b/>
          <w:bCs/>
        </w:rPr>
        <w:t>Controller:</w:t>
      </w:r>
      <w:r w:rsidRPr="00427FCD">
        <w:t xml:space="preserve"> Determines purposes and means of processing personal data.</w:t>
      </w:r>
    </w:p>
    <w:p w:rsidR="00427FCD" w:rsidRPr="00427FCD" w:rsidRDefault="00427FCD" w:rsidP="00427FCD">
      <w:pPr>
        <w:numPr>
          <w:ilvl w:val="0"/>
          <w:numId w:val="3"/>
        </w:numPr>
      </w:pPr>
      <w:r w:rsidRPr="00427FCD">
        <w:rPr>
          <w:b/>
          <w:bCs/>
        </w:rPr>
        <w:t>Processor:</w:t>
      </w:r>
      <w:r w:rsidRPr="00427FCD">
        <w:t xml:space="preserve"> Processes data on behalf of a controller following documented instructions.</w:t>
      </w:r>
    </w:p>
    <w:p w:rsidR="00427FCD" w:rsidRPr="00427FCD" w:rsidRDefault="00427FCD" w:rsidP="00427FCD">
      <w:pPr>
        <w:numPr>
          <w:ilvl w:val="0"/>
          <w:numId w:val="3"/>
        </w:numPr>
      </w:pPr>
      <w:r w:rsidRPr="00427FCD">
        <w:rPr>
          <w:b/>
          <w:bCs/>
        </w:rPr>
        <w:t>Sub-processor:</w:t>
      </w:r>
      <w:r w:rsidRPr="00427FCD">
        <w:t xml:space="preserve"> Engaged by a processor to provide part of the processing service.</w:t>
      </w:r>
    </w:p>
    <w:p w:rsidR="00427FCD" w:rsidRPr="00427FCD" w:rsidRDefault="00427FCD" w:rsidP="00427FCD">
      <w:r w:rsidRPr="00427FCD">
        <w:t>Organizations often act as both controller and processor in complex ecosystems. A healthcare SaaS provider, for instance, may control internal HR data while processing patient data on behalf of clinics.</w:t>
      </w:r>
    </w:p>
    <w:p w:rsidR="00427FCD" w:rsidRPr="00427FCD" w:rsidRDefault="00427FCD" w:rsidP="00427FCD">
      <w:r w:rsidRPr="00427FCD">
        <w:rPr>
          <w:b/>
          <w:bCs/>
        </w:rPr>
        <w:t>Data Protection Officer (DPO)</w:t>
      </w:r>
      <w:r w:rsidRPr="00427FCD">
        <w:br/>
        <w:t>Every entity engaged in large-scale systematic monitoring or sensitive-data processing must appoint a DPO.</w:t>
      </w:r>
      <w:r w:rsidRPr="00427FCD">
        <w:br/>
      </w:r>
      <w:proofErr w:type="spellStart"/>
      <w:r w:rsidRPr="00427FCD">
        <w:t>ServerAudit</w:t>
      </w:r>
      <w:proofErr w:type="spellEnd"/>
      <w:r w:rsidRPr="00427FCD">
        <w:t xml:space="preserve"> recommends formal designation even when not strictly required, to:</w:t>
      </w:r>
    </w:p>
    <w:p w:rsidR="00427FCD" w:rsidRPr="00427FCD" w:rsidRDefault="00427FCD" w:rsidP="00427FCD">
      <w:pPr>
        <w:numPr>
          <w:ilvl w:val="0"/>
          <w:numId w:val="4"/>
        </w:numPr>
      </w:pPr>
      <w:r w:rsidRPr="00427FCD">
        <w:t>Oversee compliance efforts and data-subject requests.</w:t>
      </w:r>
    </w:p>
    <w:p w:rsidR="00427FCD" w:rsidRPr="00427FCD" w:rsidRDefault="00427FCD" w:rsidP="00427FCD">
      <w:pPr>
        <w:numPr>
          <w:ilvl w:val="0"/>
          <w:numId w:val="4"/>
        </w:numPr>
      </w:pPr>
      <w:r w:rsidRPr="00427FCD">
        <w:t>Coordinate breach notifications with supervisory authorities.</w:t>
      </w:r>
    </w:p>
    <w:p w:rsidR="00427FCD" w:rsidRPr="00427FCD" w:rsidRDefault="00427FCD" w:rsidP="00427FCD">
      <w:pPr>
        <w:numPr>
          <w:ilvl w:val="0"/>
          <w:numId w:val="4"/>
        </w:numPr>
      </w:pPr>
      <w:r w:rsidRPr="00427FCD">
        <w:t>Advise management on risk mitigation and training programs.</w:t>
      </w:r>
    </w:p>
    <w:p w:rsidR="00427FCD" w:rsidRPr="00427FCD" w:rsidRDefault="00427FCD" w:rsidP="00427FCD">
      <w:r w:rsidRPr="00427FCD">
        <w:rPr>
          <w:b/>
          <w:bCs/>
        </w:rPr>
        <w:t>Shared Accountability in Hybrid Environments</w:t>
      </w:r>
      <w:r w:rsidRPr="00427FCD">
        <w:br/>
        <w:t>Under Article 28, controllers must use only processors providing sufficient guarantees of GDPR compliance.</w:t>
      </w:r>
      <w:r w:rsidRPr="00427FCD">
        <w:br/>
      </w:r>
      <w:proofErr w:type="spellStart"/>
      <w:r w:rsidRPr="00427FCD">
        <w:t>ServerAudit’s</w:t>
      </w:r>
      <w:proofErr w:type="spellEnd"/>
      <w:r w:rsidRPr="00427FCD">
        <w:t xml:space="preserve"> vendor-risk templates include:</w:t>
      </w:r>
    </w:p>
    <w:p w:rsidR="00427FCD" w:rsidRPr="00427FCD" w:rsidRDefault="00427FCD" w:rsidP="00427FCD">
      <w:pPr>
        <w:numPr>
          <w:ilvl w:val="0"/>
          <w:numId w:val="5"/>
        </w:numPr>
      </w:pPr>
      <w:r w:rsidRPr="00427FCD">
        <w:t>Data-Processing Agreements (DPAs)</w:t>
      </w:r>
    </w:p>
    <w:p w:rsidR="00427FCD" w:rsidRPr="00427FCD" w:rsidRDefault="00427FCD" w:rsidP="00427FCD">
      <w:pPr>
        <w:numPr>
          <w:ilvl w:val="0"/>
          <w:numId w:val="5"/>
        </w:numPr>
      </w:pPr>
      <w:r w:rsidRPr="00427FCD">
        <w:t>Sub-processor disclosure records</w:t>
      </w:r>
    </w:p>
    <w:p w:rsidR="00427FCD" w:rsidRPr="00427FCD" w:rsidRDefault="00427FCD" w:rsidP="00427FCD">
      <w:pPr>
        <w:numPr>
          <w:ilvl w:val="0"/>
          <w:numId w:val="5"/>
        </w:numPr>
      </w:pPr>
      <w:r w:rsidRPr="00427FCD">
        <w:lastRenderedPageBreak/>
        <w:t>Annual third-party assurance reviews</w:t>
      </w:r>
    </w:p>
    <w:p w:rsidR="00427FCD" w:rsidRPr="00427FCD" w:rsidRDefault="00427FCD" w:rsidP="00427FCD">
      <w:r w:rsidRPr="00427FCD">
        <w:pict>
          <v:rect id="_x0000_i1095" style="width:0;height:1.5pt" o:hralign="center" o:hrstd="t" o:hr="t" fillcolor="#a0a0a0" stroked="f"/>
        </w:pict>
      </w:r>
    </w:p>
    <w:p w:rsidR="00427FCD" w:rsidRPr="00427FCD" w:rsidRDefault="00427FCD" w:rsidP="00427FCD">
      <w:pPr>
        <w:rPr>
          <w:b/>
          <w:bCs/>
        </w:rPr>
      </w:pPr>
      <w:r w:rsidRPr="00427FCD">
        <w:rPr>
          <w:b/>
          <w:bCs/>
        </w:rPr>
        <w:t>6. Technical and Organizational Measures (TOMs)</w:t>
      </w:r>
    </w:p>
    <w:p w:rsidR="00427FCD" w:rsidRPr="00427FCD" w:rsidRDefault="00427FCD" w:rsidP="00427FCD">
      <w:r w:rsidRPr="00427FCD">
        <w:t>GDPR Article 32 requires appropriate security of processing.</w:t>
      </w:r>
      <w:r w:rsidRPr="00427FCD">
        <w:br/>
      </w:r>
      <w:proofErr w:type="spellStart"/>
      <w:r w:rsidRPr="00427FCD">
        <w:t>ServerAudit</w:t>
      </w:r>
      <w:proofErr w:type="spellEnd"/>
      <w:r w:rsidRPr="00427FCD">
        <w:t xml:space="preserve"> audits both </w:t>
      </w:r>
      <w:r w:rsidRPr="00427FCD">
        <w:rPr>
          <w:b/>
          <w:bCs/>
        </w:rPr>
        <w:t>technical</w:t>
      </w:r>
      <w:r w:rsidRPr="00427FCD">
        <w:t xml:space="preserve"> and </w:t>
      </w:r>
      <w:r w:rsidRPr="00427FCD">
        <w:rPr>
          <w:b/>
          <w:bCs/>
        </w:rPr>
        <w:t>organizational</w:t>
      </w:r>
      <w:r w:rsidRPr="00427FCD">
        <w:t xml:space="preserve"> layers: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6"/>
        <w:gridCol w:w="6280"/>
      </w:tblGrid>
      <w:tr w:rsidR="00427FCD" w:rsidRPr="00427FCD">
        <w:trPr>
          <w:tblHeader/>
          <w:tblCellSpacing w:w="15" w:type="dxa"/>
        </w:trPr>
        <w:tc>
          <w:tcPr>
            <w:tcW w:w="0" w:type="auto"/>
            <w:vAlign w:val="center"/>
            <w:hideMark/>
          </w:tcPr>
          <w:p w:rsidR="00427FCD" w:rsidRPr="00427FCD" w:rsidRDefault="00427FCD" w:rsidP="00427FCD">
            <w:pPr>
              <w:rPr>
                <w:b/>
                <w:bCs/>
              </w:rPr>
            </w:pPr>
            <w:r w:rsidRPr="00427FCD">
              <w:rPr>
                <w:b/>
                <w:bCs/>
              </w:rPr>
              <w:t>Category</w:t>
            </w:r>
          </w:p>
        </w:tc>
        <w:tc>
          <w:tcPr>
            <w:tcW w:w="0" w:type="auto"/>
            <w:vAlign w:val="center"/>
            <w:hideMark/>
          </w:tcPr>
          <w:p w:rsidR="00427FCD" w:rsidRPr="00427FCD" w:rsidRDefault="00427FCD" w:rsidP="00427FCD">
            <w:pPr>
              <w:rPr>
                <w:b/>
                <w:bCs/>
              </w:rPr>
            </w:pPr>
            <w:r w:rsidRPr="00427FCD">
              <w:rPr>
                <w:b/>
                <w:bCs/>
              </w:rPr>
              <w:t>Examples of Controls</w:t>
            </w:r>
          </w:p>
        </w:tc>
      </w:tr>
      <w:tr w:rsidR="00427FCD" w:rsidRPr="00427FCD">
        <w:trPr>
          <w:tblCellSpacing w:w="15" w:type="dxa"/>
        </w:trPr>
        <w:tc>
          <w:tcPr>
            <w:tcW w:w="0" w:type="auto"/>
            <w:vAlign w:val="center"/>
            <w:hideMark/>
          </w:tcPr>
          <w:p w:rsidR="00427FCD" w:rsidRPr="00427FCD" w:rsidRDefault="00427FCD" w:rsidP="00427FCD">
            <w:r w:rsidRPr="00427FCD">
              <w:rPr>
                <w:b/>
                <w:bCs/>
              </w:rPr>
              <w:t>Access Control</w:t>
            </w:r>
          </w:p>
        </w:tc>
        <w:tc>
          <w:tcPr>
            <w:tcW w:w="0" w:type="auto"/>
            <w:vAlign w:val="center"/>
            <w:hideMark/>
          </w:tcPr>
          <w:p w:rsidR="00427FCD" w:rsidRPr="00427FCD" w:rsidRDefault="00427FCD" w:rsidP="00427FCD">
            <w:r w:rsidRPr="00427FCD">
              <w:t>Multi-Factor Authentication (MFA), least-privilege models, periodic access reviews</w:t>
            </w:r>
          </w:p>
        </w:tc>
      </w:tr>
      <w:tr w:rsidR="00427FCD" w:rsidRPr="00427FCD">
        <w:trPr>
          <w:tblCellSpacing w:w="15" w:type="dxa"/>
        </w:trPr>
        <w:tc>
          <w:tcPr>
            <w:tcW w:w="0" w:type="auto"/>
            <w:vAlign w:val="center"/>
            <w:hideMark/>
          </w:tcPr>
          <w:p w:rsidR="00427FCD" w:rsidRPr="00427FCD" w:rsidRDefault="00427FCD" w:rsidP="00427FCD">
            <w:r w:rsidRPr="00427FCD">
              <w:rPr>
                <w:b/>
                <w:bCs/>
              </w:rPr>
              <w:t>Encryption &amp; Pseudonymization</w:t>
            </w:r>
          </w:p>
        </w:tc>
        <w:tc>
          <w:tcPr>
            <w:tcW w:w="0" w:type="auto"/>
            <w:vAlign w:val="center"/>
            <w:hideMark/>
          </w:tcPr>
          <w:p w:rsidR="00427FCD" w:rsidRPr="00427FCD" w:rsidRDefault="00427FCD" w:rsidP="00427FCD">
            <w:r w:rsidRPr="00427FCD">
              <w:t>AES-256 encryption at rest, TLS 1.3 in transit, tokenization of PII fields</w:t>
            </w:r>
          </w:p>
        </w:tc>
      </w:tr>
      <w:tr w:rsidR="00427FCD" w:rsidRPr="00427FCD">
        <w:trPr>
          <w:tblCellSpacing w:w="15" w:type="dxa"/>
        </w:trPr>
        <w:tc>
          <w:tcPr>
            <w:tcW w:w="0" w:type="auto"/>
            <w:vAlign w:val="center"/>
            <w:hideMark/>
          </w:tcPr>
          <w:p w:rsidR="00427FCD" w:rsidRPr="00427FCD" w:rsidRDefault="00427FCD" w:rsidP="00427FCD">
            <w:r w:rsidRPr="00427FCD">
              <w:rPr>
                <w:b/>
                <w:bCs/>
              </w:rPr>
              <w:t>Monitoring &amp; Logging</w:t>
            </w:r>
          </w:p>
        </w:tc>
        <w:tc>
          <w:tcPr>
            <w:tcW w:w="0" w:type="auto"/>
            <w:vAlign w:val="center"/>
            <w:hideMark/>
          </w:tcPr>
          <w:p w:rsidR="00427FCD" w:rsidRPr="00427FCD" w:rsidRDefault="00427FCD" w:rsidP="00427FCD">
            <w:r w:rsidRPr="00427FCD">
              <w:t>Centralized SIEM collection, anomaly detection, retention policies ≥ 12 months</w:t>
            </w:r>
          </w:p>
        </w:tc>
      </w:tr>
      <w:tr w:rsidR="00427FCD" w:rsidRPr="00427FCD">
        <w:trPr>
          <w:tblCellSpacing w:w="15" w:type="dxa"/>
        </w:trPr>
        <w:tc>
          <w:tcPr>
            <w:tcW w:w="0" w:type="auto"/>
            <w:vAlign w:val="center"/>
            <w:hideMark/>
          </w:tcPr>
          <w:p w:rsidR="00427FCD" w:rsidRPr="00427FCD" w:rsidRDefault="00427FCD" w:rsidP="00427FCD">
            <w:r w:rsidRPr="00427FCD">
              <w:rPr>
                <w:b/>
                <w:bCs/>
              </w:rPr>
              <w:t>Incident Response</w:t>
            </w:r>
          </w:p>
        </w:tc>
        <w:tc>
          <w:tcPr>
            <w:tcW w:w="0" w:type="auto"/>
            <w:vAlign w:val="center"/>
            <w:hideMark/>
          </w:tcPr>
          <w:p w:rsidR="00427FCD" w:rsidRPr="00427FCD" w:rsidRDefault="00427FCD" w:rsidP="00427FCD">
            <w:r w:rsidRPr="00427FCD">
              <w:t>Documented IR plan, Breach Notification workflow within 72 hours</w:t>
            </w:r>
          </w:p>
        </w:tc>
      </w:tr>
      <w:tr w:rsidR="00427FCD" w:rsidRPr="00427FCD">
        <w:trPr>
          <w:tblCellSpacing w:w="15" w:type="dxa"/>
        </w:trPr>
        <w:tc>
          <w:tcPr>
            <w:tcW w:w="0" w:type="auto"/>
            <w:vAlign w:val="center"/>
            <w:hideMark/>
          </w:tcPr>
          <w:p w:rsidR="00427FCD" w:rsidRPr="00427FCD" w:rsidRDefault="00427FCD" w:rsidP="00427FCD">
            <w:r w:rsidRPr="00427FCD">
              <w:rPr>
                <w:b/>
                <w:bCs/>
              </w:rPr>
              <w:t>Physical Security</w:t>
            </w:r>
          </w:p>
        </w:tc>
        <w:tc>
          <w:tcPr>
            <w:tcW w:w="0" w:type="auto"/>
            <w:vAlign w:val="center"/>
            <w:hideMark/>
          </w:tcPr>
          <w:p w:rsidR="00427FCD" w:rsidRPr="00427FCD" w:rsidRDefault="00427FCD" w:rsidP="00427FCD">
            <w:r w:rsidRPr="00427FCD">
              <w:t>Biometric access control, visitor logs, camera retention policy</w:t>
            </w:r>
          </w:p>
        </w:tc>
      </w:tr>
      <w:tr w:rsidR="00427FCD" w:rsidRPr="00427FCD">
        <w:trPr>
          <w:tblCellSpacing w:w="15" w:type="dxa"/>
        </w:trPr>
        <w:tc>
          <w:tcPr>
            <w:tcW w:w="0" w:type="auto"/>
            <w:vAlign w:val="center"/>
            <w:hideMark/>
          </w:tcPr>
          <w:p w:rsidR="00427FCD" w:rsidRPr="00427FCD" w:rsidRDefault="00427FCD" w:rsidP="00427FCD">
            <w:r w:rsidRPr="00427FCD">
              <w:rPr>
                <w:b/>
                <w:bCs/>
              </w:rPr>
              <w:t>Organizational Measures</w:t>
            </w:r>
          </w:p>
        </w:tc>
        <w:tc>
          <w:tcPr>
            <w:tcW w:w="0" w:type="auto"/>
            <w:vAlign w:val="center"/>
            <w:hideMark/>
          </w:tcPr>
          <w:p w:rsidR="00427FCD" w:rsidRPr="00427FCD" w:rsidRDefault="00427FCD" w:rsidP="00427FCD">
            <w:r w:rsidRPr="00427FCD">
              <w:t>Mandatory staff training, policy acknowledgments, vendor due-diligence register</w:t>
            </w:r>
          </w:p>
        </w:tc>
      </w:tr>
    </w:tbl>
    <w:p w:rsidR="00427FCD" w:rsidRPr="00427FCD" w:rsidRDefault="00427FCD" w:rsidP="00427FCD">
      <w:proofErr w:type="spellStart"/>
      <w:r w:rsidRPr="00427FCD">
        <w:t>ServerAudit</w:t>
      </w:r>
      <w:proofErr w:type="spellEnd"/>
      <w:r w:rsidRPr="00427FCD">
        <w:t xml:space="preserve"> recommends mapping TOMs to ISO 27001 Annex A and NIST 800-53 controls for efficiency and audit reuse.</w:t>
      </w:r>
    </w:p>
    <w:p w:rsidR="00427FCD" w:rsidRPr="00427FCD" w:rsidRDefault="00427FCD" w:rsidP="00427FCD">
      <w:r w:rsidRPr="00427FCD">
        <w:pict>
          <v:rect id="_x0000_i1096" style="width:0;height:1.5pt" o:hralign="center" o:hrstd="t" o:hr="t" fillcolor="#a0a0a0" stroked="f"/>
        </w:pict>
      </w:r>
    </w:p>
    <w:p w:rsidR="00427FCD" w:rsidRPr="00427FCD" w:rsidRDefault="00427FCD" w:rsidP="00427FCD">
      <w:pPr>
        <w:rPr>
          <w:b/>
          <w:bCs/>
        </w:rPr>
      </w:pPr>
      <w:r w:rsidRPr="00427FCD">
        <w:rPr>
          <w:b/>
          <w:bCs/>
        </w:rPr>
        <w:t>7. Data Subject Rights (DSRs)</w:t>
      </w:r>
    </w:p>
    <w:p w:rsidR="00427FCD" w:rsidRPr="00427FCD" w:rsidRDefault="00427FCD" w:rsidP="00427FCD">
      <w:r w:rsidRPr="00427FCD">
        <w:t>GDPR Articles 12–23 grant individuals specific rights:</w:t>
      </w:r>
    </w:p>
    <w:p w:rsidR="00427FCD" w:rsidRPr="00427FCD" w:rsidRDefault="00427FCD" w:rsidP="00427FCD">
      <w:pPr>
        <w:numPr>
          <w:ilvl w:val="0"/>
          <w:numId w:val="6"/>
        </w:numPr>
      </w:pPr>
      <w:r w:rsidRPr="00427FCD">
        <w:rPr>
          <w:b/>
          <w:bCs/>
        </w:rPr>
        <w:t>Right to Access</w:t>
      </w:r>
      <w:r w:rsidRPr="00427FCD">
        <w:t xml:space="preserve"> – confirmation and copy of personal data held.</w:t>
      </w:r>
    </w:p>
    <w:p w:rsidR="00427FCD" w:rsidRPr="00427FCD" w:rsidRDefault="00427FCD" w:rsidP="00427FCD">
      <w:pPr>
        <w:numPr>
          <w:ilvl w:val="0"/>
          <w:numId w:val="6"/>
        </w:numPr>
      </w:pPr>
      <w:r w:rsidRPr="00427FCD">
        <w:rPr>
          <w:b/>
          <w:bCs/>
        </w:rPr>
        <w:t>Right to Rectification</w:t>
      </w:r>
      <w:r w:rsidRPr="00427FCD">
        <w:t xml:space="preserve"> – correction of inaccurate information.</w:t>
      </w:r>
    </w:p>
    <w:p w:rsidR="00427FCD" w:rsidRPr="00427FCD" w:rsidRDefault="00427FCD" w:rsidP="00427FCD">
      <w:pPr>
        <w:numPr>
          <w:ilvl w:val="0"/>
          <w:numId w:val="6"/>
        </w:numPr>
      </w:pPr>
      <w:r w:rsidRPr="00427FCD">
        <w:rPr>
          <w:b/>
          <w:bCs/>
        </w:rPr>
        <w:t>Right to Erasure (“Right to be Forgotten”)</w:t>
      </w:r>
      <w:r w:rsidRPr="00427FCD">
        <w:t xml:space="preserve"> – deletion when no lawful basis exists.</w:t>
      </w:r>
    </w:p>
    <w:p w:rsidR="00427FCD" w:rsidRPr="00427FCD" w:rsidRDefault="00427FCD" w:rsidP="00427FCD">
      <w:pPr>
        <w:numPr>
          <w:ilvl w:val="0"/>
          <w:numId w:val="6"/>
        </w:numPr>
      </w:pPr>
      <w:r w:rsidRPr="00427FCD">
        <w:rPr>
          <w:b/>
          <w:bCs/>
        </w:rPr>
        <w:t>Right to Restriction of Processing</w:t>
      </w:r>
      <w:r w:rsidRPr="00427FCD">
        <w:t xml:space="preserve"> – temporary suspension while accuracy is verified.</w:t>
      </w:r>
    </w:p>
    <w:p w:rsidR="00427FCD" w:rsidRPr="00427FCD" w:rsidRDefault="00427FCD" w:rsidP="00427FCD">
      <w:pPr>
        <w:numPr>
          <w:ilvl w:val="0"/>
          <w:numId w:val="6"/>
        </w:numPr>
      </w:pPr>
      <w:r w:rsidRPr="00427FCD">
        <w:rPr>
          <w:b/>
          <w:bCs/>
        </w:rPr>
        <w:t>Right to Data Portability</w:t>
      </w:r>
      <w:r w:rsidRPr="00427FCD">
        <w:t xml:space="preserve"> – structured, machine-readable format transfer.</w:t>
      </w:r>
    </w:p>
    <w:p w:rsidR="00427FCD" w:rsidRPr="00427FCD" w:rsidRDefault="00427FCD" w:rsidP="00427FCD">
      <w:pPr>
        <w:numPr>
          <w:ilvl w:val="0"/>
          <w:numId w:val="6"/>
        </w:numPr>
      </w:pPr>
      <w:r w:rsidRPr="00427FCD">
        <w:rPr>
          <w:b/>
          <w:bCs/>
        </w:rPr>
        <w:t>Right to Object</w:t>
      </w:r>
      <w:r w:rsidRPr="00427FCD">
        <w:t xml:space="preserve"> – refusal of processing for direct marketing or legitimate interest.</w:t>
      </w:r>
    </w:p>
    <w:p w:rsidR="00427FCD" w:rsidRPr="00427FCD" w:rsidRDefault="00427FCD" w:rsidP="00427FCD">
      <w:proofErr w:type="spellStart"/>
      <w:r w:rsidRPr="00427FCD">
        <w:rPr>
          <w:b/>
          <w:bCs/>
        </w:rPr>
        <w:t>ServerAudit</w:t>
      </w:r>
      <w:proofErr w:type="spellEnd"/>
      <w:r w:rsidRPr="00427FCD">
        <w:rPr>
          <w:b/>
          <w:bCs/>
        </w:rPr>
        <w:t xml:space="preserve"> Best Practices</w:t>
      </w:r>
    </w:p>
    <w:p w:rsidR="00427FCD" w:rsidRPr="00427FCD" w:rsidRDefault="00427FCD" w:rsidP="00427FCD">
      <w:pPr>
        <w:numPr>
          <w:ilvl w:val="0"/>
          <w:numId w:val="7"/>
        </w:numPr>
      </w:pPr>
      <w:r w:rsidRPr="00427FCD">
        <w:t>Establish a central DSR workflow queue with 30-day SLA.</w:t>
      </w:r>
    </w:p>
    <w:p w:rsidR="00427FCD" w:rsidRPr="00427FCD" w:rsidRDefault="00427FCD" w:rsidP="00427FCD">
      <w:pPr>
        <w:numPr>
          <w:ilvl w:val="0"/>
          <w:numId w:val="7"/>
        </w:numPr>
      </w:pPr>
      <w:r w:rsidRPr="00427FCD">
        <w:t>Maintain audit trail for all DSR communications.</w:t>
      </w:r>
    </w:p>
    <w:p w:rsidR="00427FCD" w:rsidRPr="00427FCD" w:rsidRDefault="00427FCD" w:rsidP="00427FCD">
      <w:pPr>
        <w:numPr>
          <w:ilvl w:val="0"/>
          <w:numId w:val="7"/>
        </w:numPr>
      </w:pPr>
      <w:r w:rsidRPr="00427FCD">
        <w:t>Use secure portals for identity verification and record delivery.</w:t>
      </w:r>
    </w:p>
    <w:p w:rsidR="00427FCD" w:rsidRPr="00427FCD" w:rsidRDefault="00427FCD" w:rsidP="00427FCD">
      <w:pPr>
        <w:numPr>
          <w:ilvl w:val="0"/>
          <w:numId w:val="7"/>
        </w:numPr>
      </w:pPr>
      <w:r w:rsidRPr="00427FCD">
        <w:t>Integrate DSR metrics into compliance dashboards.</w:t>
      </w:r>
    </w:p>
    <w:p w:rsidR="00427FCD" w:rsidRPr="00427FCD" w:rsidRDefault="00427FCD" w:rsidP="00427FCD">
      <w:r w:rsidRPr="00427FCD">
        <w:lastRenderedPageBreak/>
        <w:pict>
          <v:rect id="_x0000_i1097" style="width:0;height:1.5pt" o:hralign="center" o:hrstd="t" o:hr="t" fillcolor="#a0a0a0" stroked="f"/>
        </w:pict>
      </w:r>
    </w:p>
    <w:p w:rsidR="00427FCD" w:rsidRPr="00427FCD" w:rsidRDefault="00427FCD" w:rsidP="00427FCD">
      <w:pPr>
        <w:rPr>
          <w:b/>
          <w:bCs/>
        </w:rPr>
      </w:pPr>
      <w:r w:rsidRPr="00427FCD">
        <w:rPr>
          <w:b/>
          <w:bCs/>
        </w:rPr>
        <w:t xml:space="preserve">8. </w:t>
      </w:r>
      <w:proofErr w:type="spellStart"/>
      <w:r w:rsidRPr="00427FCD">
        <w:rPr>
          <w:b/>
          <w:bCs/>
        </w:rPr>
        <w:t>ServerAudit</w:t>
      </w:r>
      <w:proofErr w:type="spellEnd"/>
      <w:r w:rsidRPr="00427FCD">
        <w:rPr>
          <w:b/>
          <w:bCs/>
        </w:rPr>
        <w:t xml:space="preserve"> GDPR Audit Methodology</w:t>
      </w:r>
    </w:p>
    <w:p w:rsidR="00427FCD" w:rsidRPr="00427FCD" w:rsidRDefault="00427FCD" w:rsidP="00427FCD">
      <w:proofErr w:type="spellStart"/>
      <w:r w:rsidRPr="00427FCD">
        <w:t>ServerAudit’s</w:t>
      </w:r>
      <w:proofErr w:type="spellEnd"/>
      <w:r w:rsidRPr="00427FCD">
        <w:t xml:space="preserve"> methodology ensures evidence-based audits aligned with ISO 19011 principles.</w:t>
      </w:r>
    </w:p>
    <w:p w:rsidR="00427FCD" w:rsidRPr="00427FCD" w:rsidRDefault="00427FCD" w:rsidP="00427FCD">
      <w:r w:rsidRPr="00427FCD">
        <w:rPr>
          <w:b/>
          <w:bCs/>
        </w:rPr>
        <w:t>Step 1 – Pre-Assessment Briefing</w:t>
      </w:r>
      <w:r w:rsidRPr="00427FCD">
        <w:br/>
        <w:t>Define audit scope, systems involved, and data flows.</w:t>
      </w:r>
    </w:p>
    <w:p w:rsidR="00427FCD" w:rsidRPr="00427FCD" w:rsidRDefault="00427FCD" w:rsidP="00427FCD">
      <w:r w:rsidRPr="00427FCD">
        <w:rPr>
          <w:b/>
          <w:bCs/>
        </w:rPr>
        <w:t>Step 2 – Evidence Collection</w:t>
      </w:r>
      <w:r w:rsidRPr="00427FCD">
        <w:br/>
        <w:t>Collect policies, access logs, training records, incident registers, and vendor contracts.</w:t>
      </w:r>
    </w:p>
    <w:p w:rsidR="00427FCD" w:rsidRPr="00427FCD" w:rsidRDefault="00427FCD" w:rsidP="00427FCD">
      <w:r w:rsidRPr="00427FCD">
        <w:rPr>
          <w:b/>
          <w:bCs/>
        </w:rPr>
        <w:t>Step 3 – Control Evaluation</w:t>
      </w:r>
      <w:r w:rsidRPr="00427FCD">
        <w:br/>
        <w:t>Assess control design and operating effectiveness against GDPR articles and industry standards.</w:t>
      </w:r>
    </w:p>
    <w:p w:rsidR="00427FCD" w:rsidRPr="00427FCD" w:rsidRDefault="00427FCD" w:rsidP="00427FCD">
      <w:r w:rsidRPr="00427FCD">
        <w:rPr>
          <w:b/>
          <w:bCs/>
        </w:rPr>
        <w:t>Step 4 – Gap Scoring &amp; Prioritization</w:t>
      </w:r>
      <w:r w:rsidRPr="00427FCD">
        <w:br/>
        <w:t>Each finding is scored High/Medium/Low based on impact and likelihood.</w:t>
      </w:r>
    </w:p>
    <w:p w:rsidR="00427FCD" w:rsidRPr="00427FCD" w:rsidRDefault="00427FCD" w:rsidP="00427FCD">
      <w:r w:rsidRPr="00427FCD">
        <w:rPr>
          <w:b/>
          <w:bCs/>
        </w:rPr>
        <w:t>Step 5 – Remediation Plan</w:t>
      </w:r>
      <w:r w:rsidRPr="00427FCD">
        <w:br/>
        <w:t>Develop corrective actions with responsible owners and target dates.</w:t>
      </w:r>
    </w:p>
    <w:p w:rsidR="00427FCD" w:rsidRPr="00427FCD" w:rsidRDefault="00427FCD" w:rsidP="00427FCD">
      <w:r w:rsidRPr="00427FCD">
        <w:rPr>
          <w:b/>
          <w:bCs/>
        </w:rPr>
        <w:t>Step 6 – Validation &amp; Management Review</w:t>
      </w:r>
      <w:r w:rsidRPr="00427FCD">
        <w:br/>
        <w:t>Verify closure of remediation items and issue final readiness report.</w:t>
      </w:r>
    </w:p>
    <w:p w:rsidR="00427FCD" w:rsidRPr="00427FCD" w:rsidRDefault="00427FCD" w:rsidP="00427FCD">
      <w:r w:rsidRPr="00427FCD">
        <w:rPr>
          <w:b/>
          <w:bCs/>
        </w:rPr>
        <w:t>Deliverables</w:t>
      </w:r>
    </w:p>
    <w:p w:rsidR="00427FCD" w:rsidRPr="00427FCD" w:rsidRDefault="00427FCD" w:rsidP="00427FCD">
      <w:pPr>
        <w:numPr>
          <w:ilvl w:val="0"/>
          <w:numId w:val="8"/>
        </w:numPr>
      </w:pPr>
      <w:r w:rsidRPr="00427FCD">
        <w:t>Detailed Audit Checklist &amp; Scorecard</w:t>
      </w:r>
    </w:p>
    <w:p w:rsidR="00427FCD" w:rsidRPr="00427FCD" w:rsidRDefault="00427FCD" w:rsidP="00427FCD">
      <w:pPr>
        <w:numPr>
          <w:ilvl w:val="0"/>
          <w:numId w:val="8"/>
        </w:numPr>
      </w:pPr>
      <w:r w:rsidRPr="00427FCD">
        <w:t>Management Summary Report</w:t>
      </w:r>
    </w:p>
    <w:p w:rsidR="00427FCD" w:rsidRPr="00427FCD" w:rsidRDefault="00427FCD" w:rsidP="00427FCD">
      <w:pPr>
        <w:numPr>
          <w:ilvl w:val="0"/>
          <w:numId w:val="8"/>
        </w:numPr>
      </w:pPr>
      <w:r w:rsidRPr="00427FCD">
        <w:t>Actionable Remediation Plan</w:t>
      </w:r>
    </w:p>
    <w:p w:rsidR="00427FCD" w:rsidRPr="00427FCD" w:rsidRDefault="00427FCD" w:rsidP="00427FCD">
      <w:proofErr w:type="spellStart"/>
      <w:r w:rsidRPr="00427FCD">
        <w:t>ServerAudit</w:t>
      </w:r>
      <w:proofErr w:type="spellEnd"/>
      <w:r w:rsidRPr="00427FCD">
        <w:t xml:space="preserve"> uses automated evidence collection via SIEM and compliance dashboards to minimize manual effort.</w:t>
      </w:r>
    </w:p>
    <w:p w:rsidR="00427FCD" w:rsidRPr="00427FCD" w:rsidRDefault="00427FCD" w:rsidP="00427FCD">
      <w:r w:rsidRPr="00427FCD">
        <w:pict>
          <v:rect id="_x0000_i1098" style="width:0;height:1.5pt" o:hralign="center" o:hrstd="t" o:hr="t" fillcolor="#a0a0a0" stroked="f"/>
        </w:pict>
      </w:r>
    </w:p>
    <w:p w:rsidR="00427FCD" w:rsidRPr="00427FCD" w:rsidRDefault="00427FCD" w:rsidP="00427FCD">
      <w:pPr>
        <w:rPr>
          <w:b/>
          <w:bCs/>
        </w:rPr>
      </w:pPr>
      <w:r w:rsidRPr="00427FCD">
        <w:rPr>
          <w:b/>
          <w:bCs/>
        </w:rPr>
        <w:t>9. Case Study – European Healthcare SaaS Provider</w:t>
      </w:r>
    </w:p>
    <w:p w:rsidR="00427FCD" w:rsidRPr="00427FCD" w:rsidRDefault="00427FCD" w:rsidP="00427FCD">
      <w:r w:rsidRPr="00427FCD">
        <w:rPr>
          <w:b/>
          <w:bCs/>
        </w:rPr>
        <w:t>Background</w:t>
      </w:r>
      <w:r w:rsidRPr="00427FCD">
        <w:br/>
        <w:t xml:space="preserve">A mid-size SaaS firm serving 20 hospitals in Europe processed sensitive patient records on AWS and Azure. The client faced regulatory scrutiny after a minor data-exposure incident. </w:t>
      </w:r>
      <w:proofErr w:type="spellStart"/>
      <w:r w:rsidRPr="00427FCD">
        <w:t>ServerAudit</w:t>
      </w:r>
      <w:proofErr w:type="spellEnd"/>
      <w:r w:rsidRPr="00427FCD">
        <w:t xml:space="preserve"> was engaged to perform a GDPR gap assessment and implement a readiness program.</w:t>
      </w:r>
    </w:p>
    <w:p w:rsidR="00427FCD" w:rsidRPr="00427FCD" w:rsidRDefault="00427FCD" w:rsidP="00427FCD">
      <w:r w:rsidRPr="00427FCD">
        <w:rPr>
          <w:b/>
          <w:bCs/>
        </w:rPr>
        <w:t>Engagement Duration:</w:t>
      </w:r>
      <w:r w:rsidRPr="00427FCD">
        <w:t xml:space="preserve"> 45 days</w:t>
      </w:r>
      <w:r w:rsidRPr="00427FCD">
        <w:br/>
      </w:r>
      <w:r w:rsidRPr="00427FCD">
        <w:rPr>
          <w:b/>
          <w:bCs/>
        </w:rPr>
        <w:t>Team:</w:t>
      </w:r>
      <w:r w:rsidRPr="00427FCD">
        <w:t xml:space="preserve"> 2 Auditors + 1 Cloud Security Specialist + Client DPO</w:t>
      </w:r>
    </w:p>
    <w:p w:rsidR="00427FCD" w:rsidRPr="00427FCD" w:rsidRDefault="00427FCD" w:rsidP="00427FCD">
      <w:r w:rsidRPr="00427FCD">
        <w:rPr>
          <w:b/>
          <w:bCs/>
        </w:rPr>
        <w:t>Approach</w:t>
      </w:r>
    </w:p>
    <w:p w:rsidR="00427FCD" w:rsidRPr="00427FCD" w:rsidRDefault="00427FCD" w:rsidP="00427FCD">
      <w:pPr>
        <w:numPr>
          <w:ilvl w:val="0"/>
          <w:numId w:val="9"/>
        </w:numPr>
      </w:pPr>
      <w:r w:rsidRPr="00427FCD">
        <w:t xml:space="preserve">Executed </w:t>
      </w:r>
      <w:proofErr w:type="spellStart"/>
      <w:r w:rsidRPr="00427FCD">
        <w:t>ServerAudit</w:t>
      </w:r>
      <w:proofErr w:type="spellEnd"/>
      <w:r w:rsidRPr="00427FCD">
        <w:t xml:space="preserve"> Phase 1–3 Discovery and Assessment.</w:t>
      </w:r>
    </w:p>
    <w:p w:rsidR="00427FCD" w:rsidRPr="00427FCD" w:rsidRDefault="00427FCD" w:rsidP="00427FCD">
      <w:pPr>
        <w:numPr>
          <w:ilvl w:val="0"/>
          <w:numId w:val="9"/>
        </w:numPr>
      </w:pPr>
      <w:r w:rsidRPr="00427FCD">
        <w:t>Identified 24 gaps across security and policy domains.</w:t>
      </w:r>
    </w:p>
    <w:p w:rsidR="00427FCD" w:rsidRPr="00427FCD" w:rsidRDefault="00427FCD" w:rsidP="00427FCD">
      <w:pPr>
        <w:numPr>
          <w:ilvl w:val="0"/>
          <w:numId w:val="9"/>
        </w:numPr>
      </w:pPr>
      <w:r w:rsidRPr="00427FCD">
        <w:t>Implemented encryption and access review automation.</w:t>
      </w:r>
    </w:p>
    <w:p w:rsidR="00427FCD" w:rsidRPr="00427FCD" w:rsidRDefault="00427FCD" w:rsidP="00427FCD">
      <w:pPr>
        <w:numPr>
          <w:ilvl w:val="0"/>
          <w:numId w:val="9"/>
        </w:numPr>
      </w:pPr>
      <w:r w:rsidRPr="00427FCD">
        <w:t>Established DSR portal and incident response playbook.</w:t>
      </w:r>
    </w:p>
    <w:p w:rsidR="00427FCD" w:rsidRPr="00427FCD" w:rsidRDefault="00427FCD" w:rsidP="00427FCD">
      <w:pPr>
        <w:numPr>
          <w:ilvl w:val="0"/>
          <w:numId w:val="9"/>
        </w:numPr>
      </w:pPr>
      <w:r w:rsidRPr="00427FCD">
        <w:t>Trained 50 employees on data-protection practices.</w:t>
      </w:r>
    </w:p>
    <w:p w:rsidR="00427FCD" w:rsidRPr="00427FCD" w:rsidRDefault="00427FCD" w:rsidP="00427FCD">
      <w:r w:rsidRPr="00427FCD">
        <w:rPr>
          <w:b/>
          <w:bCs/>
        </w:rPr>
        <w:lastRenderedPageBreak/>
        <w:t>Results</w:t>
      </w:r>
    </w:p>
    <w:p w:rsidR="00427FCD" w:rsidRPr="00427FCD" w:rsidRDefault="00427FCD" w:rsidP="00427FCD">
      <w:pPr>
        <w:numPr>
          <w:ilvl w:val="0"/>
          <w:numId w:val="10"/>
        </w:numPr>
      </w:pPr>
      <w:r w:rsidRPr="00427FCD">
        <w:t>Compliance score improved from 61 % to 93 % within 45 days.</w:t>
      </w:r>
    </w:p>
    <w:p w:rsidR="00427FCD" w:rsidRPr="00427FCD" w:rsidRDefault="00427FCD" w:rsidP="00427FCD">
      <w:pPr>
        <w:numPr>
          <w:ilvl w:val="0"/>
          <w:numId w:val="10"/>
        </w:numPr>
      </w:pPr>
      <w:r w:rsidRPr="00427FCD">
        <w:t>Achieved alignment with ISO 27001 and SOC 2 Type II.</w:t>
      </w:r>
    </w:p>
    <w:p w:rsidR="00427FCD" w:rsidRPr="00427FCD" w:rsidRDefault="00427FCD" w:rsidP="00427FCD">
      <w:pPr>
        <w:numPr>
          <w:ilvl w:val="0"/>
          <w:numId w:val="10"/>
        </w:numPr>
      </w:pPr>
      <w:r w:rsidRPr="00427FCD">
        <w:t>Client successfully passed external GDPR attestation audit without major findings.</w:t>
      </w:r>
    </w:p>
    <w:p w:rsidR="00427FCD" w:rsidRPr="00427FCD" w:rsidRDefault="00427FCD" w:rsidP="00427FCD">
      <w:r w:rsidRPr="00427FCD">
        <w:rPr>
          <w:b/>
          <w:bCs/>
        </w:rPr>
        <w:t>Key Takeaway</w:t>
      </w:r>
      <w:r w:rsidRPr="00427FCD">
        <w:br/>
        <w:t xml:space="preserve">Structured remediation and automation reduce manual burden and shorten compliance cycles. </w:t>
      </w:r>
      <w:proofErr w:type="spellStart"/>
      <w:r w:rsidRPr="00427FCD">
        <w:t>ServerAudit’s</w:t>
      </w:r>
      <w:proofErr w:type="spellEnd"/>
      <w:r w:rsidRPr="00427FCD">
        <w:t xml:space="preserve"> integrated methodology enables organizations to transition from reactive compliance to proactive governance.</w:t>
      </w:r>
    </w:p>
    <w:p w:rsidR="00427FCD" w:rsidRPr="00427FCD" w:rsidRDefault="00427FCD" w:rsidP="00427FCD">
      <w:r w:rsidRPr="00427FCD">
        <w:pict>
          <v:rect id="_x0000_i1099" style="width:0;height:1.5pt" o:hralign="center" o:hrstd="t" o:hr="t" fillcolor="#a0a0a0" stroked="f"/>
        </w:pict>
      </w:r>
    </w:p>
    <w:p w:rsidR="00427FCD" w:rsidRPr="00427FCD" w:rsidRDefault="00427FCD" w:rsidP="00427FCD">
      <w:r w:rsidRPr="00427FCD">
        <w:rPr>
          <w:i/>
          <w:iCs/>
        </w:rPr>
        <w:t>(End of Part 2 – continues in Part 3: Checklist → Conclusion)</w:t>
      </w:r>
    </w:p>
    <w:p w:rsidR="00427FCD" w:rsidRPr="00427FCD" w:rsidRDefault="00427FCD" w:rsidP="00427FCD">
      <w:pPr>
        <w:rPr>
          <w:b/>
          <w:bCs/>
        </w:rPr>
      </w:pPr>
      <w:r w:rsidRPr="00427FCD">
        <w:rPr>
          <w:b/>
          <w:bCs/>
        </w:rPr>
        <w:t>10. GDPR Readiness Checklist (Sample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0"/>
        <w:gridCol w:w="2283"/>
        <w:gridCol w:w="1347"/>
        <w:gridCol w:w="2526"/>
        <w:gridCol w:w="830"/>
      </w:tblGrid>
      <w:tr w:rsidR="00427FCD" w:rsidRPr="00427FCD">
        <w:trPr>
          <w:tblHeader/>
          <w:tblCellSpacing w:w="15" w:type="dxa"/>
        </w:trPr>
        <w:tc>
          <w:tcPr>
            <w:tcW w:w="0" w:type="auto"/>
            <w:vAlign w:val="center"/>
            <w:hideMark/>
          </w:tcPr>
          <w:p w:rsidR="00427FCD" w:rsidRPr="00427FCD" w:rsidRDefault="00427FCD" w:rsidP="00427FCD">
            <w:pPr>
              <w:rPr>
                <w:b/>
                <w:bCs/>
              </w:rPr>
            </w:pPr>
            <w:r w:rsidRPr="00427FCD">
              <w:rPr>
                <w:b/>
                <w:bCs/>
              </w:rPr>
              <w:t>Control Area</w:t>
            </w:r>
          </w:p>
        </w:tc>
        <w:tc>
          <w:tcPr>
            <w:tcW w:w="0" w:type="auto"/>
            <w:vAlign w:val="center"/>
            <w:hideMark/>
          </w:tcPr>
          <w:p w:rsidR="00427FCD" w:rsidRPr="00427FCD" w:rsidRDefault="00427FCD" w:rsidP="00427FCD">
            <w:pPr>
              <w:rPr>
                <w:b/>
                <w:bCs/>
              </w:rPr>
            </w:pPr>
            <w:r w:rsidRPr="00427FCD">
              <w:rPr>
                <w:b/>
                <w:bCs/>
              </w:rPr>
              <w:t>Requirement</w:t>
            </w:r>
          </w:p>
        </w:tc>
        <w:tc>
          <w:tcPr>
            <w:tcW w:w="0" w:type="auto"/>
            <w:vAlign w:val="center"/>
            <w:hideMark/>
          </w:tcPr>
          <w:p w:rsidR="00427FCD" w:rsidRPr="00427FCD" w:rsidRDefault="00427FCD" w:rsidP="00427FCD">
            <w:pPr>
              <w:rPr>
                <w:b/>
                <w:bCs/>
              </w:rPr>
            </w:pPr>
            <w:r w:rsidRPr="00427FCD">
              <w:rPr>
                <w:b/>
                <w:bCs/>
              </w:rPr>
              <w:t>Current Status</w:t>
            </w:r>
          </w:p>
        </w:tc>
        <w:tc>
          <w:tcPr>
            <w:tcW w:w="0" w:type="auto"/>
            <w:vAlign w:val="center"/>
            <w:hideMark/>
          </w:tcPr>
          <w:p w:rsidR="00427FCD" w:rsidRPr="00427FCD" w:rsidRDefault="00427FCD" w:rsidP="00427FCD">
            <w:pPr>
              <w:rPr>
                <w:b/>
                <w:bCs/>
              </w:rPr>
            </w:pPr>
            <w:r w:rsidRPr="00427FCD">
              <w:rPr>
                <w:b/>
                <w:bCs/>
              </w:rPr>
              <w:t>Recommendation</w:t>
            </w:r>
          </w:p>
        </w:tc>
        <w:tc>
          <w:tcPr>
            <w:tcW w:w="0" w:type="auto"/>
            <w:vAlign w:val="center"/>
            <w:hideMark/>
          </w:tcPr>
          <w:p w:rsidR="00427FCD" w:rsidRPr="00427FCD" w:rsidRDefault="00427FCD" w:rsidP="00427FCD">
            <w:pPr>
              <w:rPr>
                <w:b/>
                <w:bCs/>
              </w:rPr>
            </w:pPr>
            <w:r w:rsidRPr="00427FCD">
              <w:rPr>
                <w:b/>
                <w:bCs/>
              </w:rPr>
              <w:t>Priority</w:t>
            </w:r>
          </w:p>
        </w:tc>
      </w:tr>
      <w:tr w:rsidR="00427FCD" w:rsidRPr="00427FCD">
        <w:trPr>
          <w:tblCellSpacing w:w="15" w:type="dxa"/>
        </w:trPr>
        <w:tc>
          <w:tcPr>
            <w:tcW w:w="0" w:type="auto"/>
            <w:vAlign w:val="center"/>
            <w:hideMark/>
          </w:tcPr>
          <w:p w:rsidR="00427FCD" w:rsidRPr="00427FCD" w:rsidRDefault="00427FCD" w:rsidP="00427FCD">
            <w:r w:rsidRPr="00427FCD">
              <w:rPr>
                <w:b/>
                <w:bCs/>
              </w:rPr>
              <w:t>Data Inventory &amp; Mapping</w:t>
            </w:r>
          </w:p>
        </w:tc>
        <w:tc>
          <w:tcPr>
            <w:tcW w:w="0" w:type="auto"/>
            <w:vAlign w:val="center"/>
            <w:hideMark/>
          </w:tcPr>
          <w:p w:rsidR="00427FCD" w:rsidRPr="00427FCD" w:rsidRDefault="00427FCD" w:rsidP="00427FCD">
            <w:r w:rsidRPr="00427FCD">
              <w:t>Comprehensive record of processing activities (Article 30)</w:t>
            </w:r>
          </w:p>
        </w:tc>
        <w:tc>
          <w:tcPr>
            <w:tcW w:w="0" w:type="auto"/>
            <w:vAlign w:val="center"/>
            <w:hideMark/>
          </w:tcPr>
          <w:p w:rsidR="00427FCD" w:rsidRPr="00427FCD" w:rsidRDefault="00427FCD" w:rsidP="00427FCD">
            <w:r w:rsidRPr="00427FCD">
              <w:t>Partial</w:t>
            </w:r>
          </w:p>
        </w:tc>
        <w:tc>
          <w:tcPr>
            <w:tcW w:w="0" w:type="auto"/>
            <w:vAlign w:val="center"/>
            <w:hideMark/>
          </w:tcPr>
          <w:p w:rsidR="00427FCD" w:rsidRPr="00427FCD" w:rsidRDefault="00427FCD" w:rsidP="00427FCD">
            <w:r w:rsidRPr="00427FCD">
              <w:t>Implement automated data-discovery and classification tools</w:t>
            </w:r>
          </w:p>
        </w:tc>
        <w:tc>
          <w:tcPr>
            <w:tcW w:w="0" w:type="auto"/>
            <w:vAlign w:val="center"/>
            <w:hideMark/>
          </w:tcPr>
          <w:p w:rsidR="00427FCD" w:rsidRPr="00427FCD" w:rsidRDefault="00427FCD" w:rsidP="00427FCD">
            <w:r w:rsidRPr="00427FCD">
              <w:t>High</w:t>
            </w:r>
          </w:p>
        </w:tc>
      </w:tr>
      <w:tr w:rsidR="00427FCD" w:rsidRPr="00427FCD">
        <w:trPr>
          <w:tblCellSpacing w:w="15" w:type="dxa"/>
        </w:trPr>
        <w:tc>
          <w:tcPr>
            <w:tcW w:w="0" w:type="auto"/>
            <w:vAlign w:val="center"/>
            <w:hideMark/>
          </w:tcPr>
          <w:p w:rsidR="00427FCD" w:rsidRPr="00427FCD" w:rsidRDefault="00427FCD" w:rsidP="00427FCD">
            <w:r w:rsidRPr="00427FCD">
              <w:rPr>
                <w:b/>
                <w:bCs/>
              </w:rPr>
              <w:t>Lawful Basis Documentation</w:t>
            </w:r>
          </w:p>
        </w:tc>
        <w:tc>
          <w:tcPr>
            <w:tcW w:w="0" w:type="auto"/>
            <w:vAlign w:val="center"/>
            <w:hideMark/>
          </w:tcPr>
          <w:p w:rsidR="00427FCD" w:rsidRPr="00427FCD" w:rsidRDefault="00427FCD" w:rsidP="00427FCD">
            <w:r w:rsidRPr="00427FCD">
              <w:t>Define legal basis for each processing purpose</w:t>
            </w:r>
          </w:p>
        </w:tc>
        <w:tc>
          <w:tcPr>
            <w:tcW w:w="0" w:type="auto"/>
            <w:vAlign w:val="center"/>
            <w:hideMark/>
          </w:tcPr>
          <w:p w:rsidR="00427FCD" w:rsidRPr="00427FCD" w:rsidRDefault="00427FCD" w:rsidP="00427FCD">
            <w:r w:rsidRPr="00427FCD">
              <w:t>Implemented</w:t>
            </w:r>
          </w:p>
        </w:tc>
        <w:tc>
          <w:tcPr>
            <w:tcW w:w="0" w:type="auto"/>
            <w:vAlign w:val="center"/>
            <w:hideMark/>
          </w:tcPr>
          <w:p w:rsidR="00427FCD" w:rsidRPr="00427FCD" w:rsidRDefault="00427FCD" w:rsidP="00427FCD">
            <w:r w:rsidRPr="00427FCD">
              <w:t>Review annually and document consent withdrawals</w:t>
            </w:r>
          </w:p>
        </w:tc>
        <w:tc>
          <w:tcPr>
            <w:tcW w:w="0" w:type="auto"/>
            <w:vAlign w:val="center"/>
            <w:hideMark/>
          </w:tcPr>
          <w:p w:rsidR="00427FCD" w:rsidRPr="00427FCD" w:rsidRDefault="00427FCD" w:rsidP="00427FCD">
            <w:r w:rsidRPr="00427FCD">
              <w:t>Medium</w:t>
            </w:r>
          </w:p>
        </w:tc>
      </w:tr>
      <w:tr w:rsidR="00427FCD" w:rsidRPr="00427FCD">
        <w:trPr>
          <w:tblCellSpacing w:w="15" w:type="dxa"/>
        </w:trPr>
        <w:tc>
          <w:tcPr>
            <w:tcW w:w="0" w:type="auto"/>
            <w:vAlign w:val="center"/>
            <w:hideMark/>
          </w:tcPr>
          <w:p w:rsidR="00427FCD" w:rsidRPr="00427FCD" w:rsidRDefault="00427FCD" w:rsidP="00427FCD">
            <w:r w:rsidRPr="00427FCD">
              <w:rPr>
                <w:b/>
                <w:bCs/>
              </w:rPr>
              <w:t>Consent Management</w:t>
            </w:r>
          </w:p>
        </w:tc>
        <w:tc>
          <w:tcPr>
            <w:tcW w:w="0" w:type="auto"/>
            <w:vAlign w:val="center"/>
            <w:hideMark/>
          </w:tcPr>
          <w:p w:rsidR="00427FCD" w:rsidRPr="00427FCD" w:rsidRDefault="00427FCD" w:rsidP="00427FCD">
            <w:r w:rsidRPr="00427FCD">
              <w:t>Mechanism for informed and explicit consent</w:t>
            </w:r>
          </w:p>
        </w:tc>
        <w:tc>
          <w:tcPr>
            <w:tcW w:w="0" w:type="auto"/>
            <w:vAlign w:val="center"/>
            <w:hideMark/>
          </w:tcPr>
          <w:p w:rsidR="00427FCD" w:rsidRPr="00427FCD" w:rsidRDefault="00427FCD" w:rsidP="00427FCD">
            <w:r w:rsidRPr="00427FCD">
              <w:t>Partial</w:t>
            </w:r>
          </w:p>
        </w:tc>
        <w:tc>
          <w:tcPr>
            <w:tcW w:w="0" w:type="auto"/>
            <w:vAlign w:val="center"/>
            <w:hideMark/>
          </w:tcPr>
          <w:p w:rsidR="00427FCD" w:rsidRPr="00427FCD" w:rsidRDefault="00427FCD" w:rsidP="00427FCD">
            <w:r w:rsidRPr="00427FCD">
              <w:t>Deploy centralized consent tracking portal</w:t>
            </w:r>
          </w:p>
        </w:tc>
        <w:tc>
          <w:tcPr>
            <w:tcW w:w="0" w:type="auto"/>
            <w:vAlign w:val="center"/>
            <w:hideMark/>
          </w:tcPr>
          <w:p w:rsidR="00427FCD" w:rsidRPr="00427FCD" w:rsidRDefault="00427FCD" w:rsidP="00427FCD">
            <w:r w:rsidRPr="00427FCD">
              <w:t>High</w:t>
            </w:r>
          </w:p>
        </w:tc>
      </w:tr>
      <w:tr w:rsidR="00427FCD" w:rsidRPr="00427FCD">
        <w:trPr>
          <w:tblCellSpacing w:w="15" w:type="dxa"/>
        </w:trPr>
        <w:tc>
          <w:tcPr>
            <w:tcW w:w="0" w:type="auto"/>
            <w:vAlign w:val="center"/>
            <w:hideMark/>
          </w:tcPr>
          <w:p w:rsidR="00427FCD" w:rsidRPr="00427FCD" w:rsidRDefault="00427FCD" w:rsidP="00427FCD">
            <w:r w:rsidRPr="00427FCD">
              <w:rPr>
                <w:b/>
                <w:bCs/>
              </w:rPr>
              <w:t>Vendor Management</w:t>
            </w:r>
          </w:p>
        </w:tc>
        <w:tc>
          <w:tcPr>
            <w:tcW w:w="0" w:type="auto"/>
            <w:vAlign w:val="center"/>
            <w:hideMark/>
          </w:tcPr>
          <w:p w:rsidR="00427FCD" w:rsidRPr="00427FCD" w:rsidRDefault="00427FCD" w:rsidP="00427FCD">
            <w:r w:rsidRPr="00427FCD">
              <w:t>GDPR clauses in third-party DPAs and sub-processor lists</w:t>
            </w:r>
          </w:p>
        </w:tc>
        <w:tc>
          <w:tcPr>
            <w:tcW w:w="0" w:type="auto"/>
            <w:vAlign w:val="center"/>
            <w:hideMark/>
          </w:tcPr>
          <w:p w:rsidR="00427FCD" w:rsidRPr="00427FCD" w:rsidRDefault="00427FCD" w:rsidP="00427FCD">
            <w:r w:rsidRPr="00427FCD">
              <w:t>Not Implemented</w:t>
            </w:r>
          </w:p>
        </w:tc>
        <w:tc>
          <w:tcPr>
            <w:tcW w:w="0" w:type="auto"/>
            <w:vAlign w:val="center"/>
            <w:hideMark/>
          </w:tcPr>
          <w:p w:rsidR="00427FCD" w:rsidRPr="00427FCD" w:rsidRDefault="00427FCD" w:rsidP="00427FCD">
            <w:r w:rsidRPr="00427FCD">
              <w:t>Introduce vendor risk assessment workflow</w:t>
            </w:r>
          </w:p>
        </w:tc>
        <w:tc>
          <w:tcPr>
            <w:tcW w:w="0" w:type="auto"/>
            <w:vAlign w:val="center"/>
            <w:hideMark/>
          </w:tcPr>
          <w:p w:rsidR="00427FCD" w:rsidRPr="00427FCD" w:rsidRDefault="00427FCD" w:rsidP="00427FCD">
            <w:r w:rsidRPr="00427FCD">
              <w:t>High</w:t>
            </w:r>
          </w:p>
        </w:tc>
      </w:tr>
      <w:tr w:rsidR="00427FCD" w:rsidRPr="00427FCD">
        <w:trPr>
          <w:tblCellSpacing w:w="15" w:type="dxa"/>
        </w:trPr>
        <w:tc>
          <w:tcPr>
            <w:tcW w:w="0" w:type="auto"/>
            <w:vAlign w:val="center"/>
            <w:hideMark/>
          </w:tcPr>
          <w:p w:rsidR="00427FCD" w:rsidRPr="00427FCD" w:rsidRDefault="00427FCD" w:rsidP="00427FCD">
            <w:r w:rsidRPr="00427FCD">
              <w:rPr>
                <w:b/>
                <w:bCs/>
              </w:rPr>
              <w:t>Data Subject Requests (DSRs)</w:t>
            </w:r>
          </w:p>
        </w:tc>
        <w:tc>
          <w:tcPr>
            <w:tcW w:w="0" w:type="auto"/>
            <w:vAlign w:val="center"/>
            <w:hideMark/>
          </w:tcPr>
          <w:p w:rsidR="00427FCD" w:rsidRPr="00427FCD" w:rsidRDefault="00427FCD" w:rsidP="00427FCD">
            <w:r w:rsidRPr="00427FCD">
              <w:t>Respond within 30 days with audit trail</w:t>
            </w:r>
          </w:p>
        </w:tc>
        <w:tc>
          <w:tcPr>
            <w:tcW w:w="0" w:type="auto"/>
            <w:vAlign w:val="center"/>
            <w:hideMark/>
          </w:tcPr>
          <w:p w:rsidR="00427FCD" w:rsidRPr="00427FCD" w:rsidRDefault="00427FCD" w:rsidP="00427FCD">
            <w:r w:rsidRPr="00427FCD">
              <w:t>Partial</w:t>
            </w:r>
          </w:p>
        </w:tc>
        <w:tc>
          <w:tcPr>
            <w:tcW w:w="0" w:type="auto"/>
            <w:vAlign w:val="center"/>
            <w:hideMark/>
          </w:tcPr>
          <w:p w:rsidR="00427FCD" w:rsidRPr="00427FCD" w:rsidRDefault="00427FCD" w:rsidP="00427FCD">
            <w:r w:rsidRPr="00427FCD">
              <w:t>Automate DSR handling through secure portal</w:t>
            </w:r>
          </w:p>
        </w:tc>
        <w:tc>
          <w:tcPr>
            <w:tcW w:w="0" w:type="auto"/>
            <w:vAlign w:val="center"/>
            <w:hideMark/>
          </w:tcPr>
          <w:p w:rsidR="00427FCD" w:rsidRPr="00427FCD" w:rsidRDefault="00427FCD" w:rsidP="00427FCD">
            <w:r w:rsidRPr="00427FCD">
              <w:t>Medium</w:t>
            </w:r>
          </w:p>
        </w:tc>
      </w:tr>
      <w:tr w:rsidR="00427FCD" w:rsidRPr="00427FCD">
        <w:trPr>
          <w:tblCellSpacing w:w="15" w:type="dxa"/>
        </w:trPr>
        <w:tc>
          <w:tcPr>
            <w:tcW w:w="0" w:type="auto"/>
            <w:vAlign w:val="center"/>
            <w:hideMark/>
          </w:tcPr>
          <w:p w:rsidR="00427FCD" w:rsidRPr="00427FCD" w:rsidRDefault="00427FCD" w:rsidP="00427FCD">
            <w:r w:rsidRPr="00427FCD">
              <w:rPr>
                <w:b/>
                <w:bCs/>
              </w:rPr>
              <w:t>Data Protection Impact Assessment (DPIA)</w:t>
            </w:r>
          </w:p>
        </w:tc>
        <w:tc>
          <w:tcPr>
            <w:tcW w:w="0" w:type="auto"/>
            <w:vAlign w:val="center"/>
            <w:hideMark/>
          </w:tcPr>
          <w:p w:rsidR="00427FCD" w:rsidRPr="00427FCD" w:rsidRDefault="00427FCD" w:rsidP="00427FCD">
            <w:r w:rsidRPr="00427FCD">
              <w:t>Conduct risk analysis for new systems</w:t>
            </w:r>
          </w:p>
        </w:tc>
        <w:tc>
          <w:tcPr>
            <w:tcW w:w="0" w:type="auto"/>
            <w:vAlign w:val="center"/>
            <w:hideMark/>
          </w:tcPr>
          <w:p w:rsidR="00427FCD" w:rsidRPr="00427FCD" w:rsidRDefault="00427FCD" w:rsidP="00427FCD">
            <w:r w:rsidRPr="00427FCD">
              <w:t>Planned</w:t>
            </w:r>
          </w:p>
        </w:tc>
        <w:tc>
          <w:tcPr>
            <w:tcW w:w="0" w:type="auto"/>
            <w:vAlign w:val="center"/>
            <w:hideMark/>
          </w:tcPr>
          <w:p w:rsidR="00427FCD" w:rsidRPr="00427FCD" w:rsidRDefault="00427FCD" w:rsidP="00427FCD">
            <w:r w:rsidRPr="00427FCD">
              <w:t>Integrate DPIA into change-management process</w:t>
            </w:r>
          </w:p>
        </w:tc>
        <w:tc>
          <w:tcPr>
            <w:tcW w:w="0" w:type="auto"/>
            <w:vAlign w:val="center"/>
            <w:hideMark/>
          </w:tcPr>
          <w:p w:rsidR="00427FCD" w:rsidRPr="00427FCD" w:rsidRDefault="00427FCD" w:rsidP="00427FCD">
            <w:r w:rsidRPr="00427FCD">
              <w:t>Medium</w:t>
            </w:r>
          </w:p>
        </w:tc>
      </w:tr>
      <w:tr w:rsidR="00427FCD" w:rsidRPr="00427FCD">
        <w:trPr>
          <w:tblCellSpacing w:w="15" w:type="dxa"/>
        </w:trPr>
        <w:tc>
          <w:tcPr>
            <w:tcW w:w="0" w:type="auto"/>
            <w:vAlign w:val="center"/>
            <w:hideMark/>
          </w:tcPr>
          <w:p w:rsidR="00427FCD" w:rsidRPr="00427FCD" w:rsidRDefault="00427FCD" w:rsidP="00427FCD">
            <w:r w:rsidRPr="00427FCD">
              <w:rPr>
                <w:b/>
                <w:bCs/>
              </w:rPr>
              <w:t>Security Monitoring &amp; Breach Response</w:t>
            </w:r>
          </w:p>
        </w:tc>
        <w:tc>
          <w:tcPr>
            <w:tcW w:w="0" w:type="auto"/>
            <w:vAlign w:val="center"/>
            <w:hideMark/>
          </w:tcPr>
          <w:p w:rsidR="00427FCD" w:rsidRPr="00427FCD" w:rsidRDefault="00427FCD" w:rsidP="00427FCD">
            <w:r w:rsidRPr="00427FCD">
              <w:t>Detect and notify within 72 hours</w:t>
            </w:r>
          </w:p>
        </w:tc>
        <w:tc>
          <w:tcPr>
            <w:tcW w:w="0" w:type="auto"/>
            <w:vAlign w:val="center"/>
            <w:hideMark/>
          </w:tcPr>
          <w:p w:rsidR="00427FCD" w:rsidRPr="00427FCD" w:rsidRDefault="00427FCD" w:rsidP="00427FCD">
            <w:r w:rsidRPr="00427FCD">
              <w:t>Implemented</w:t>
            </w:r>
          </w:p>
        </w:tc>
        <w:tc>
          <w:tcPr>
            <w:tcW w:w="0" w:type="auto"/>
            <w:vAlign w:val="center"/>
            <w:hideMark/>
          </w:tcPr>
          <w:p w:rsidR="00427FCD" w:rsidRPr="00427FCD" w:rsidRDefault="00427FCD" w:rsidP="00427FCD">
            <w:r w:rsidRPr="00427FCD">
              <w:t>Perform annual table-top tests and update IR playbook</w:t>
            </w:r>
          </w:p>
        </w:tc>
        <w:tc>
          <w:tcPr>
            <w:tcW w:w="0" w:type="auto"/>
            <w:vAlign w:val="center"/>
            <w:hideMark/>
          </w:tcPr>
          <w:p w:rsidR="00427FCD" w:rsidRPr="00427FCD" w:rsidRDefault="00427FCD" w:rsidP="00427FCD">
            <w:r w:rsidRPr="00427FCD">
              <w:t>Medium</w:t>
            </w:r>
          </w:p>
        </w:tc>
      </w:tr>
      <w:tr w:rsidR="00427FCD" w:rsidRPr="00427FCD">
        <w:trPr>
          <w:tblCellSpacing w:w="15" w:type="dxa"/>
        </w:trPr>
        <w:tc>
          <w:tcPr>
            <w:tcW w:w="0" w:type="auto"/>
            <w:vAlign w:val="center"/>
            <w:hideMark/>
          </w:tcPr>
          <w:p w:rsidR="00427FCD" w:rsidRPr="00427FCD" w:rsidRDefault="00427FCD" w:rsidP="00427FCD">
            <w:r w:rsidRPr="00427FCD">
              <w:rPr>
                <w:b/>
                <w:bCs/>
              </w:rPr>
              <w:t>Training &amp; Awareness</w:t>
            </w:r>
          </w:p>
        </w:tc>
        <w:tc>
          <w:tcPr>
            <w:tcW w:w="0" w:type="auto"/>
            <w:vAlign w:val="center"/>
            <w:hideMark/>
          </w:tcPr>
          <w:p w:rsidR="00427FCD" w:rsidRPr="00427FCD" w:rsidRDefault="00427FCD" w:rsidP="00427FCD">
            <w:r w:rsidRPr="00427FCD">
              <w:t>Annual staff training on GDPR and data handling</w:t>
            </w:r>
          </w:p>
        </w:tc>
        <w:tc>
          <w:tcPr>
            <w:tcW w:w="0" w:type="auto"/>
            <w:vAlign w:val="center"/>
            <w:hideMark/>
          </w:tcPr>
          <w:p w:rsidR="00427FCD" w:rsidRPr="00427FCD" w:rsidRDefault="00427FCD" w:rsidP="00427FCD">
            <w:r w:rsidRPr="00427FCD">
              <w:t>Implemented</w:t>
            </w:r>
          </w:p>
        </w:tc>
        <w:tc>
          <w:tcPr>
            <w:tcW w:w="0" w:type="auto"/>
            <w:vAlign w:val="center"/>
            <w:hideMark/>
          </w:tcPr>
          <w:p w:rsidR="00427FCD" w:rsidRPr="00427FCD" w:rsidRDefault="00427FCD" w:rsidP="00427FCD">
            <w:r w:rsidRPr="00427FCD">
              <w:t>Expand modules to include vendor management</w:t>
            </w:r>
          </w:p>
        </w:tc>
        <w:tc>
          <w:tcPr>
            <w:tcW w:w="0" w:type="auto"/>
            <w:vAlign w:val="center"/>
            <w:hideMark/>
          </w:tcPr>
          <w:p w:rsidR="00427FCD" w:rsidRPr="00427FCD" w:rsidRDefault="00427FCD" w:rsidP="00427FCD">
            <w:r w:rsidRPr="00427FCD">
              <w:t>Low</w:t>
            </w:r>
          </w:p>
        </w:tc>
      </w:tr>
      <w:tr w:rsidR="00427FCD" w:rsidRPr="00427FCD">
        <w:trPr>
          <w:tblCellSpacing w:w="15" w:type="dxa"/>
        </w:trPr>
        <w:tc>
          <w:tcPr>
            <w:tcW w:w="0" w:type="auto"/>
            <w:vAlign w:val="center"/>
            <w:hideMark/>
          </w:tcPr>
          <w:p w:rsidR="00427FCD" w:rsidRPr="00427FCD" w:rsidRDefault="00427FCD" w:rsidP="00427FCD">
            <w:r w:rsidRPr="00427FCD">
              <w:rPr>
                <w:b/>
                <w:bCs/>
              </w:rPr>
              <w:lastRenderedPageBreak/>
              <w:t>Policy Governance</w:t>
            </w:r>
          </w:p>
        </w:tc>
        <w:tc>
          <w:tcPr>
            <w:tcW w:w="0" w:type="auto"/>
            <w:vAlign w:val="center"/>
            <w:hideMark/>
          </w:tcPr>
          <w:p w:rsidR="00427FCD" w:rsidRPr="00427FCD" w:rsidRDefault="00427FCD" w:rsidP="00427FCD">
            <w:r w:rsidRPr="00427FCD">
              <w:t>Documented policies approved by management</w:t>
            </w:r>
          </w:p>
        </w:tc>
        <w:tc>
          <w:tcPr>
            <w:tcW w:w="0" w:type="auto"/>
            <w:vAlign w:val="center"/>
            <w:hideMark/>
          </w:tcPr>
          <w:p w:rsidR="00427FCD" w:rsidRPr="00427FCD" w:rsidRDefault="00427FCD" w:rsidP="00427FCD">
            <w:r w:rsidRPr="00427FCD">
              <w:t>Implemented</w:t>
            </w:r>
          </w:p>
        </w:tc>
        <w:tc>
          <w:tcPr>
            <w:tcW w:w="0" w:type="auto"/>
            <w:vAlign w:val="center"/>
            <w:hideMark/>
          </w:tcPr>
          <w:p w:rsidR="00427FCD" w:rsidRPr="00427FCD" w:rsidRDefault="00427FCD" w:rsidP="00427FCD">
            <w:r w:rsidRPr="00427FCD">
              <w:t>Establish quarterly policy-review board</w:t>
            </w:r>
          </w:p>
        </w:tc>
        <w:tc>
          <w:tcPr>
            <w:tcW w:w="0" w:type="auto"/>
            <w:vAlign w:val="center"/>
            <w:hideMark/>
          </w:tcPr>
          <w:p w:rsidR="00427FCD" w:rsidRPr="00427FCD" w:rsidRDefault="00427FCD" w:rsidP="00427FCD">
            <w:r w:rsidRPr="00427FCD">
              <w:t>Low</w:t>
            </w:r>
          </w:p>
        </w:tc>
      </w:tr>
      <w:tr w:rsidR="00427FCD" w:rsidRPr="00427FCD">
        <w:trPr>
          <w:tblCellSpacing w:w="15" w:type="dxa"/>
        </w:trPr>
        <w:tc>
          <w:tcPr>
            <w:tcW w:w="0" w:type="auto"/>
            <w:vAlign w:val="center"/>
            <w:hideMark/>
          </w:tcPr>
          <w:p w:rsidR="00427FCD" w:rsidRPr="00427FCD" w:rsidRDefault="00427FCD" w:rsidP="00427FCD">
            <w:r w:rsidRPr="00427FCD">
              <w:rPr>
                <w:b/>
                <w:bCs/>
              </w:rPr>
              <w:t>Retention &amp; Deletion</w:t>
            </w:r>
          </w:p>
        </w:tc>
        <w:tc>
          <w:tcPr>
            <w:tcW w:w="0" w:type="auto"/>
            <w:vAlign w:val="center"/>
            <w:hideMark/>
          </w:tcPr>
          <w:p w:rsidR="00427FCD" w:rsidRPr="00427FCD" w:rsidRDefault="00427FCD" w:rsidP="00427FCD">
            <w:r w:rsidRPr="00427FCD">
              <w:t>Retention period aligned to purpose</w:t>
            </w:r>
          </w:p>
        </w:tc>
        <w:tc>
          <w:tcPr>
            <w:tcW w:w="0" w:type="auto"/>
            <w:vAlign w:val="center"/>
            <w:hideMark/>
          </w:tcPr>
          <w:p w:rsidR="00427FCD" w:rsidRPr="00427FCD" w:rsidRDefault="00427FCD" w:rsidP="00427FCD">
            <w:r w:rsidRPr="00427FCD">
              <w:t>Partial</w:t>
            </w:r>
          </w:p>
        </w:tc>
        <w:tc>
          <w:tcPr>
            <w:tcW w:w="0" w:type="auto"/>
            <w:vAlign w:val="center"/>
            <w:hideMark/>
          </w:tcPr>
          <w:p w:rsidR="00427FCD" w:rsidRPr="00427FCD" w:rsidRDefault="00427FCD" w:rsidP="00427FCD">
            <w:r w:rsidRPr="00427FCD">
              <w:t>Automate retention controls in storage systems</w:t>
            </w:r>
          </w:p>
        </w:tc>
        <w:tc>
          <w:tcPr>
            <w:tcW w:w="0" w:type="auto"/>
            <w:vAlign w:val="center"/>
            <w:hideMark/>
          </w:tcPr>
          <w:p w:rsidR="00427FCD" w:rsidRPr="00427FCD" w:rsidRDefault="00427FCD" w:rsidP="00427FCD">
            <w:r w:rsidRPr="00427FCD">
              <w:t>High</w:t>
            </w:r>
          </w:p>
        </w:tc>
      </w:tr>
    </w:tbl>
    <w:p w:rsidR="00427FCD" w:rsidRPr="00427FCD" w:rsidRDefault="00427FCD" w:rsidP="00427FCD">
      <w:r w:rsidRPr="00427FCD">
        <w:rPr>
          <w:b/>
          <w:bCs/>
        </w:rPr>
        <w:t>Scoring Guidance:</w:t>
      </w:r>
      <w:r w:rsidRPr="00427FCD">
        <w:t xml:space="preserve"> Fully Implemented = 5, Partially = 3, Planned = 1, Not Implemented = 0.</w:t>
      </w:r>
      <w:r w:rsidRPr="00427FCD">
        <w:br/>
      </w:r>
      <w:r w:rsidRPr="00427FCD">
        <w:rPr>
          <w:b/>
          <w:bCs/>
        </w:rPr>
        <w:t>Readiness Index = (Sum of Scores / Maximum Possible) × 100.</w:t>
      </w:r>
    </w:p>
    <w:p w:rsidR="00427FCD" w:rsidRPr="00427FCD" w:rsidRDefault="00427FCD" w:rsidP="00427FCD">
      <w:r w:rsidRPr="00427FCD">
        <w:pict>
          <v:rect id="_x0000_i1123" style="width:0;height:1.5pt" o:hralign="center" o:hrstd="t" o:hr="t" fillcolor="#a0a0a0" stroked="f"/>
        </w:pict>
      </w:r>
    </w:p>
    <w:p w:rsidR="00427FCD" w:rsidRPr="00427FCD" w:rsidRDefault="00427FCD" w:rsidP="00427FCD">
      <w:pPr>
        <w:rPr>
          <w:b/>
          <w:bCs/>
        </w:rPr>
      </w:pPr>
      <w:r w:rsidRPr="00427FCD">
        <w:rPr>
          <w:b/>
          <w:bCs/>
        </w:rPr>
        <w:t>11. Continuous Monitoring &amp; Reporting</w:t>
      </w:r>
    </w:p>
    <w:p w:rsidR="00427FCD" w:rsidRPr="00427FCD" w:rsidRDefault="00427FCD" w:rsidP="00427FCD">
      <w:r w:rsidRPr="00427FCD">
        <w:t xml:space="preserve">GDPR compliance is a continuous journey of risk management and control assurance. </w:t>
      </w:r>
      <w:proofErr w:type="spellStart"/>
      <w:r w:rsidRPr="00427FCD">
        <w:t>ServerAudit</w:t>
      </w:r>
      <w:proofErr w:type="spellEnd"/>
      <w:r w:rsidRPr="00427FCD">
        <w:t xml:space="preserve"> advocates establishing automated dashboards and scheduled reviews to maintain a proactive posture.</w:t>
      </w:r>
    </w:p>
    <w:p w:rsidR="00427FCD" w:rsidRPr="00427FCD" w:rsidRDefault="00427FCD" w:rsidP="00427FCD">
      <w:r w:rsidRPr="00427FCD">
        <w:rPr>
          <w:b/>
          <w:bCs/>
        </w:rPr>
        <w:t>Recommended Metrics (KPIs):</w:t>
      </w:r>
    </w:p>
    <w:p w:rsidR="00427FCD" w:rsidRPr="00427FCD" w:rsidRDefault="00427FCD" w:rsidP="00427FCD">
      <w:pPr>
        <w:numPr>
          <w:ilvl w:val="0"/>
          <w:numId w:val="11"/>
        </w:numPr>
      </w:pPr>
      <w:r w:rsidRPr="00427FCD">
        <w:t>% of processing records with verified lawful basis</w:t>
      </w:r>
    </w:p>
    <w:p w:rsidR="00427FCD" w:rsidRPr="00427FCD" w:rsidRDefault="00427FCD" w:rsidP="00427FCD">
      <w:pPr>
        <w:numPr>
          <w:ilvl w:val="0"/>
          <w:numId w:val="11"/>
        </w:numPr>
      </w:pPr>
      <w:r w:rsidRPr="00427FCD">
        <w:t>Number of DSR requests closed within SLA</w:t>
      </w:r>
    </w:p>
    <w:p w:rsidR="00427FCD" w:rsidRPr="00427FCD" w:rsidRDefault="00427FCD" w:rsidP="00427FCD">
      <w:pPr>
        <w:numPr>
          <w:ilvl w:val="0"/>
          <w:numId w:val="11"/>
        </w:numPr>
      </w:pPr>
      <w:r w:rsidRPr="00427FCD">
        <w:t>Mean time to detect/respond to incidents</w:t>
      </w:r>
    </w:p>
    <w:p w:rsidR="00427FCD" w:rsidRPr="00427FCD" w:rsidRDefault="00427FCD" w:rsidP="00427FCD">
      <w:pPr>
        <w:numPr>
          <w:ilvl w:val="0"/>
          <w:numId w:val="11"/>
        </w:numPr>
      </w:pPr>
      <w:r w:rsidRPr="00427FCD">
        <w:t>Frequency of vendor re-assessments</w:t>
      </w:r>
    </w:p>
    <w:p w:rsidR="00427FCD" w:rsidRPr="00427FCD" w:rsidRDefault="00427FCD" w:rsidP="00427FCD">
      <w:pPr>
        <w:numPr>
          <w:ilvl w:val="0"/>
          <w:numId w:val="11"/>
        </w:numPr>
      </w:pPr>
      <w:r w:rsidRPr="00427FCD">
        <w:t>% of employees with current training certification</w:t>
      </w:r>
    </w:p>
    <w:p w:rsidR="00427FCD" w:rsidRPr="00427FCD" w:rsidRDefault="00427FCD" w:rsidP="00427FCD">
      <w:r w:rsidRPr="00427FCD">
        <w:rPr>
          <w:b/>
          <w:bCs/>
        </w:rPr>
        <w:t>Integrations for Continuous Assurance:</w:t>
      </w:r>
    </w:p>
    <w:p w:rsidR="00427FCD" w:rsidRPr="00427FCD" w:rsidRDefault="00427FCD" w:rsidP="00427FCD">
      <w:pPr>
        <w:numPr>
          <w:ilvl w:val="0"/>
          <w:numId w:val="12"/>
        </w:numPr>
      </w:pPr>
      <w:r w:rsidRPr="00427FCD">
        <w:rPr>
          <w:b/>
          <w:bCs/>
        </w:rPr>
        <w:t>SIEM/SOAR:</w:t>
      </w:r>
      <w:r w:rsidRPr="00427FCD">
        <w:t xml:space="preserve"> Correlate security events with privacy risks.</w:t>
      </w:r>
    </w:p>
    <w:p w:rsidR="00427FCD" w:rsidRPr="00427FCD" w:rsidRDefault="00427FCD" w:rsidP="00427FCD">
      <w:pPr>
        <w:numPr>
          <w:ilvl w:val="0"/>
          <w:numId w:val="12"/>
        </w:numPr>
      </w:pPr>
      <w:r w:rsidRPr="00427FCD">
        <w:rPr>
          <w:b/>
          <w:bCs/>
        </w:rPr>
        <w:t>GRC Tools:</w:t>
      </w:r>
      <w:r w:rsidRPr="00427FCD">
        <w:t xml:space="preserve"> Maintain policy, risk, and control registers.</w:t>
      </w:r>
    </w:p>
    <w:p w:rsidR="00427FCD" w:rsidRPr="00427FCD" w:rsidRDefault="00427FCD" w:rsidP="00427FCD">
      <w:pPr>
        <w:numPr>
          <w:ilvl w:val="0"/>
          <w:numId w:val="12"/>
        </w:numPr>
      </w:pPr>
      <w:r w:rsidRPr="00427FCD">
        <w:rPr>
          <w:b/>
          <w:bCs/>
        </w:rPr>
        <w:t>Compliance Automation (</w:t>
      </w:r>
      <w:proofErr w:type="spellStart"/>
      <w:r w:rsidRPr="00427FCD">
        <w:rPr>
          <w:b/>
          <w:bCs/>
        </w:rPr>
        <w:t>Sprinto</w:t>
      </w:r>
      <w:proofErr w:type="spellEnd"/>
      <w:r w:rsidRPr="00427FCD">
        <w:rPr>
          <w:b/>
          <w:bCs/>
        </w:rPr>
        <w:t xml:space="preserve">, Vanta, </w:t>
      </w:r>
      <w:proofErr w:type="spellStart"/>
      <w:r w:rsidRPr="00427FCD">
        <w:rPr>
          <w:b/>
          <w:bCs/>
        </w:rPr>
        <w:t>Drata</w:t>
      </w:r>
      <w:proofErr w:type="spellEnd"/>
      <w:r w:rsidRPr="00427FCD">
        <w:rPr>
          <w:b/>
          <w:bCs/>
        </w:rPr>
        <w:t>):</w:t>
      </w:r>
      <w:r w:rsidRPr="00427FCD">
        <w:t xml:space="preserve"> Automate evidence collection and control validation.</w:t>
      </w:r>
    </w:p>
    <w:p w:rsidR="00427FCD" w:rsidRPr="00427FCD" w:rsidRDefault="00427FCD" w:rsidP="00427FCD">
      <w:proofErr w:type="spellStart"/>
      <w:r w:rsidRPr="00427FCD">
        <w:t>ServerAudit</w:t>
      </w:r>
      <w:proofErr w:type="spellEnd"/>
      <w:r w:rsidRPr="00427FCD">
        <w:t xml:space="preserve"> provides periodic review and maturity reports to ensure sustained alignment with GDPR Articles and recital interpretations.</w:t>
      </w:r>
    </w:p>
    <w:p w:rsidR="00427FCD" w:rsidRPr="00427FCD" w:rsidRDefault="00427FCD" w:rsidP="00427FCD">
      <w:r w:rsidRPr="00427FCD">
        <w:pict>
          <v:rect id="_x0000_i1124" style="width:0;height:1.5pt" o:hralign="center" o:hrstd="t" o:hr="t" fillcolor="#a0a0a0" stroked="f"/>
        </w:pict>
      </w:r>
    </w:p>
    <w:p w:rsidR="00427FCD" w:rsidRPr="00427FCD" w:rsidRDefault="00427FCD" w:rsidP="00427FCD">
      <w:pPr>
        <w:rPr>
          <w:b/>
          <w:bCs/>
        </w:rPr>
      </w:pPr>
      <w:r w:rsidRPr="00427FCD">
        <w:rPr>
          <w:b/>
          <w:bCs/>
        </w:rPr>
        <w:t>12. Conclusion &amp; Recommendations</w:t>
      </w:r>
    </w:p>
    <w:p w:rsidR="00427FCD" w:rsidRPr="00427FCD" w:rsidRDefault="00427FCD" w:rsidP="00427FCD">
      <w:r w:rsidRPr="00427FCD">
        <w:t xml:space="preserve">Achieving GDPR compliance demands strategic alignment between legal, technical, and organizational functions. </w:t>
      </w:r>
      <w:proofErr w:type="spellStart"/>
      <w:r w:rsidRPr="00427FCD">
        <w:t>ServerAudit’s</w:t>
      </w:r>
      <w:proofErr w:type="spellEnd"/>
      <w:r w:rsidRPr="00427FCD">
        <w:t xml:space="preserve"> framework translates regulatory requirements into actionable security and governance controls.</w:t>
      </w:r>
    </w:p>
    <w:p w:rsidR="00427FCD" w:rsidRPr="00427FCD" w:rsidRDefault="00427FCD" w:rsidP="00427FCD">
      <w:r w:rsidRPr="00427FCD">
        <w:rPr>
          <w:b/>
          <w:bCs/>
        </w:rPr>
        <w:t>Key Recommendations for Organizations:</w:t>
      </w:r>
    </w:p>
    <w:p w:rsidR="00427FCD" w:rsidRPr="00427FCD" w:rsidRDefault="00427FCD" w:rsidP="00427FCD">
      <w:pPr>
        <w:numPr>
          <w:ilvl w:val="0"/>
          <w:numId w:val="13"/>
        </w:numPr>
      </w:pPr>
      <w:r w:rsidRPr="00427FCD">
        <w:t>Perform annual GDPR readiness audits using independent assessors.</w:t>
      </w:r>
    </w:p>
    <w:p w:rsidR="00427FCD" w:rsidRPr="00427FCD" w:rsidRDefault="00427FCD" w:rsidP="00427FCD">
      <w:pPr>
        <w:numPr>
          <w:ilvl w:val="0"/>
          <w:numId w:val="13"/>
        </w:numPr>
      </w:pPr>
      <w:r w:rsidRPr="00427FCD">
        <w:lastRenderedPageBreak/>
        <w:t>Adopt automated evidence collection to reduce manual burden.</w:t>
      </w:r>
    </w:p>
    <w:p w:rsidR="00427FCD" w:rsidRPr="00427FCD" w:rsidRDefault="00427FCD" w:rsidP="00427FCD">
      <w:pPr>
        <w:numPr>
          <w:ilvl w:val="0"/>
          <w:numId w:val="13"/>
        </w:numPr>
      </w:pPr>
      <w:r w:rsidRPr="00427FCD">
        <w:t>Integrate privacy by design into development and procurement.</w:t>
      </w:r>
    </w:p>
    <w:p w:rsidR="00427FCD" w:rsidRPr="00427FCD" w:rsidRDefault="00427FCD" w:rsidP="00427FCD">
      <w:pPr>
        <w:numPr>
          <w:ilvl w:val="0"/>
          <w:numId w:val="13"/>
        </w:numPr>
      </w:pPr>
      <w:r w:rsidRPr="00427FCD">
        <w:t>Establish a DPO or privacy committee for oversight.</w:t>
      </w:r>
    </w:p>
    <w:p w:rsidR="00427FCD" w:rsidRPr="00427FCD" w:rsidRDefault="00427FCD" w:rsidP="00427FCD">
      <w:pPr>
        <w:numPr>
          <w:ilvl w:val="0"/>
          <w:numId w:val="13"/>
        </w:numPr>
      </w:pPr>
      <w:r w:rsidRPr="00427FCD">
        <w:t>Embed continuous monitoring through SIEM/GRC integration.</w:t>
      </w:r>
    </w:p>
    <w:p w:rsidR="00427FCD" w:rsidRPr="00427FCD" w:rsidRDefault="00427FCD" w:rsidP="00427FCD">
      <w:proofErr w:type="spellStart"/>
      <w:r w:rsidRPr="00427FCD">
        <w:rPr>
          <w:b/>
          <w:bCs/>
        </w:rPr>
        <w:t>ServerAudit’s</w:t>
      </w:r>
      <w:proofErr w:type="spellEnd"/>
      <w:r w:rsidRPr="00427FCD">
        <w:rPr>
          <w:b/>
          <w:bCs/>
        </w:rPr>
        <w:t xml:space="preserve"> Commitment</w:t>
      </w:r>
      <w:r w:rsidRPr="00427FCD">
        <w:br/>
      </w:r>
      <w:proofErr w:type="spellStart"/>
      <w:r w:rsidRPr="00427FCD">
        <w:t>ServerAudit</w:t>
      </w:r>
      <w:proofErr w:type="spellEnd"/>
      <w:r w:rsidRPr="00427FCD">
        <w:t xml:space="preserve"> partners with clients across Europe, the Middle East, and the US to simplify compliance and build sustainable privacy governance. Our experts combine cybersecurity and regulatory expertise to transform compliance from a reactive task into a strategic advantage.</w:t>
      </w:r>
    </w:p>
    <w:p w:rsidR="00427FCD" w:rsidRPr="00427FCD" w:rsidRDefault="00427FCD" w:rsidP="00427FCD">
      <w:r w:rsidRPr="00427FCD">
        <w:pict>
          <v:rect id="_x0000_i1125" style="width:0;height:1.5pt" o:hralign="center" o:hrstd="t" o:hr="t" fillcolor="#a0a0a0" stroked="f"/>
        </w:pict>
      </w:r>
    </w:p>
    <w:p w:rsidR="00427FCD" w:rsidRPr="00427FCD" w:rsidRDefault="00427FCD" w:rsidP="00427FCD">
      <w:pPr>
        <w:rPr>
          <w:b/>
          <w:bCs/>
        </w:rPr>
      </w:pPr>
      <w:r w:rsidRPr="00427FCD">
        <w:rPr>
          <w:b/>
          <w:bCs/>
        </w:rPr>
        <w:t xml:space="preserve">Contact </w:t>
      </w:r>
      <w:proofErr w:type="spellStart"/>
      <w:r w:rsidRPr="00427FCD">
        <w:rPr>
          <w:b/>
          <w:bCs/>
        </w:rPr>
        <w:t>ServerAudit</w:t>
      </w:r>
      <w:proofErr w:type="spellEnd"/>
    </w:p>
    <w:p w:rsidR="00427FCD" w:rsidRPr="00427FCD" w:rsidRDefault="00427FCD" w:rsidP="00427FCD">
      <w:r w:rsidRPr="00427FCD">
        <w:t>For assistance with GDPR readiness, data-protection assessments, or privacy management frameworks:</w:t>
      </w:r>
    </w:p>
    <w:p w:rsidR="00427FCD" w:rsidRPr="00427FCD" w:rsidRDefault="00427FCD" w:rsidP="00427FCD">
      <w:proofErr w:type="spellStart"/>
      <w:r w:rsidRPr="00427FCD">
        <w:rPr>
          <w:b/>
          <w:bCs/>
        </w:rPr>
        <w:t>ServerAudit</w:t>
      </w:r>
      <w:proofErr w:type="spellEnd"/>
      <w:r w:rsidRPr="00427FCD">
        <w:rPr>
          <w:b/>
          <w:bCs/>
        </w:rPr>
        <w:t xml:space="preserve"> Consulting</w:t>
      </w:r>
      <w:r w:rsidRPr="00427FCD">
        <w:br/>
      </w:r>
      <w:r w:rsidRPr="00427FCD">
        <w:rPr>
          <w:rFonts w:ascii="Segoe UI Emoji" w:hAnsi="Segoe UI Emoji" w:cs="Segoe UI Emoji"/>
        </w:rPr>
        <w:t>📧</w:t>
      </w:r>
      <w:r w:rsidRPr="00427FCD">
        <w:t xml:space="preserve"> info@serveraudit.com</w:t>
      </w:r>
      <w:r w:rsidRPr="00427FCD">
        <w:br/>
      </w:r>
      <w:r w:rsidRPr="00427FCD">
        <w:rPr>
          <w:rFonts w:ascii="Segoe UI Emoji" w:hAnsi="Segoe UI Emoji" w:cs="Segoe UI Emoji"/>
        </w:rPr>
        <w:t>🌐</w:t>
      </w:r>
      <w:r w:rsidRPr="00427FCD">
        <w:t xml:space="preserve"> </w:t>
      </w:r>
      <w:hyperlink r:id="rId6" w:tgtFrame="_new" w:history="1">
        <w:r w:rsidRPr="00427FCD">
          <w:rPr>
            <w:rStyle w:val="Hyperlink"/>
          </w:rPr>
          <w:t>www.serveraudit.com</w:t>
        </w:r>
      </w:hyperlink>
    </w:p>
    <w:p w:rsidR="00FC742C" w:rsidRDefault="00FC742C"/>
    <w:sectPr w:rsidR="00FC7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9AB"/>
    <w:multiLevelType w:val="multilevel"/>
    <w:tmpl w:val="0738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02143"/>
    <w:multiLevelType w:val="multilevel"/>
    <w:tmpl w:val="7B22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A7C09"/>
    <w:multiLevelType w:val="multilevel"/>
    <w:tmpl w:val="68D4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559DC"/>
    <w:multiLevelType w:val="multilevel"/>
    <w:tmpl w:val="21E2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0545A"/>
    <w:multiLevelType w:val="multilevel"/>
    <w:tmpl w:val="88905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D90E5B"/>
    <w:multiLevelType w:val="multilevel"/>
    <w:tmpl w:val="CD64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63222"/>
    <w:multiLevelType w:val="multilevel"/>
    <w:tmpl w:val="144E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031F8"/>
    <w:multiLevelType w:val="multilevel"/>
    <w:tmpl w:val="48F4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A67479"/>
    <w:multiLevelType w:val="multilevel"/>
    <w:tmpl w:val="08D2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D11C5F"/>
    <w:multiLevelType w:val="multilevel"/>
    <w:tmpl w:val="5F88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751CAB"/>
    <w:multiLevelType w:val="multilevel"/>
    <w:tmpl w:val="E36E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F3652"/>
    <w:multiLevelType w:val="multilevel"/>
    <w:tmpl w:val="310A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AB18A9"/>
    <w:multiLevelType w:val="multilevel"/>
    <w:tmpl w:val="80B0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842065">
    <w:abstractNumId w:val="0"/>
  </w:num>
  <w:num w:numId="2" w16cid:durableId="1263494250">
    <w:abstractNumId w:val="10"/>
  </w:num>
  <w:num w:numId="3" w16cid:durableId="238248806">
    <w:abstractNumId w:val="5"/>
  </w:num>
  <w:num w:numId="4" w16cid:durableId="1620331084">
    <w:abstractNumId w:val="3"/>
  </w:num>
  <w:num w:numId="5" w16cid:durableId="1525829082">
    <w:abstractNumId w:val="2"/>
  </w:num>
  <w:num w:numId="6" w16cid:durableId="1234240561">
    <w:abstractNumId w:val="7"/>
  </w:num>
  <w:num w:numId="7" w16cid:durableId="698702702">
    <w:abstractNumId w:val="11"/>
  </w:num>
  <w:num w:numId="8" w16cid:durableId="1976057338">
    <w:abstractNumId w:val="6"/>
  </w:num>
  <w:num w:numId="9" w16cid:durableId="1030453616">
    <w:abstractNumId w:val="8"/>
  </w:num>
  <w:num w:numId="10" w16cid:durableId="1105491679">
    <w:abstractNumId w:val="1"/>
  </w:num>
  <w:num w:numId="11" w16cid:durableId="1299141613">
    <w:abstractNumId w:val="12"/>
  </w:num>
  <w:num w:numId="12" w16cid:durableId="38474753">
    <w:abstractNumId w:val="9"/>
  </w:num>
  <w:num w:numId="13" w16cid:durableId="365953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CD"/>
    <w:rsid w:val="001D7B0B"/>
    <w:rsid w:val="00427FCD"/>
    <w:rsid w:val="008A563D"/>
    <w:rsid w:val="00BD045B"/>
    <w:rsid w:val="00C65CF0"/>
    <w:rsid w:val="00FC742C"/>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C5C61-56B4-4250-9696-E3C8797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F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F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F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F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F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F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FCD"/>
    <w:rPr>
      <w:rFonts w:eastAsiaTheme="majorEastAsia" w:cstheme="majorBidi"/>
      <w:color w:val="272727" w:themeColor="text1" w:themeTint="D8"/>
    </w:rPr>
  </w:style>
  <w:style w:type="paragraph" w:styleId="Title">
    <w:name w:val="Title"/>
    <w:basedOn w:val="Normal"/>
    <w:next w:val="Normal"/>
    <w:link w:val="TitleChar"/>
    <w:uiPriority w:val="10"/>
    <w:qFormat/>
    <w:rsid w:val="00427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FCD"/>
    <w:pPr>
      <w:spacing w:before="160"/>
      <w:jc w:val="center"/>
    </w:pPr>
    <w:rPr>
      <w:i/>
      <w:iCs/>
      <w:color w:val="404040" w:themeColor="text1" w:themeTint="BF"/>
    </w:rPr>
  </w:style>
  <w:style w:type="character" w:customStyle="1" w:styleId="QuoteChar">
    <w:name w:val="Quote Char"/>
    <w:basedOn w:val="DefaultParagraphFont"/>
    <w:link w:val="Quote"/>
    <w:uiPriority w:val="29"/>
    <w:rsid w:val="00427FCD"/>
    <w:rPr>
      <w:i/>
      <w:iCs/>
      <w:color w:val="404040" w:themeColor="text1" w:themeTint="BF"/>
    </w:rPr>
  </w:style>
  <w:style w:type="paragraph" w:styleId="ListParagraph">
    <w:name w:val="List Paragraph"/>
    <w:basedOn w:val="Normal"/>
    <w:uiPriority w:val="34"/>
    <w:qFormat/>
    <w:rsid w:val="00427FCD"/>
    <w:pPr>
      <w:ind w:left="720"/>
      <w:contextualSpacing/>
    </w:pPr>
  </w:style>
  <w:style w:type="character" w:styleId="IntenseEmphasis">
    <w:name w:val="Intense Emphasis"/>
    <w:basedOn w:val="DefaultParagraphFont"/>
    <w:uiPriority w:val="21"/>
    <w:qFormat/>
    <w:rsid w:val="00427FCD"/>
    <w:rPr>
      <w:i/>
      <w:iCs/>
      <w:color w:val="2F5496" w:themeColor="accent1" w:themeShade="BF"/>
    </w:rPr>
  </w:style>
  <w:style w:type="paragraph" w:styleId="IntenseQuote">
    <w:name w:val="Intense Quote"/>
    <w:basedOn w:val="Normal"/>
    <w:next w:val="Normal"/>
    <w:link w:val="IntenseQuoteChar"/>
    <w:uiPriority w:val="30"/>
    <w:qFormat/>
    <w:rsid w:val="00427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FCD"/>
    <w:rPr>
      <w:i/>
      <w:iCs/>
      <w:color w:val="2F5496" w:themeColor="accent1" w:themeShade="BF"/>
    </w:rPr>
  </w:style>
  <w:style w:type="character" w:styleId="IntenseReference">
    <w:name w:val="Intense Reference"/>
    <w:basedOn w:val="DefaultParagraphFont"/>
    <w:uiPriority w:val="32"/>
    <w:qFormat/>
    <w:rsid w:val="00427FCD"/>
    <w:rPr>
      <w:b/>
      <w:bCs/>
      <w:smallCaps/>
      <w:color w:val="2F5496" w:themeColor="accent1" w:themeShade="BF"/>
      <w:spacing w:val="5"/>
    </w:rPr>
  </w:style>
  <w:style w:type="character" w:styleId="Hyperlink">
    <w:name w:val="Hyperlink"/>
    <w:basedOn w:val="DefaultParagraphFont"/>
    <w:uiPriority w:val="99"/>
    <w:unhideWhenUsed/>
    <w:rsid w:val="00427FCD"/>
    <w:rPr>
      <w:color w:val="0563C1" w:themeColor="hyperlink"/>
      <w:u w:val="single"/>
    </w:rPr>
  </w:style>
  <w:style w:type="character" w:styleId="UnresolvedMention">
    <w:name w:val="Unresolved Mention"/>
    <w:basedOn w:val="DefaultParagraphFont"/>
    <w:uiPriority w:val="99"/>
    <w:semiHidden/>
    <w:unhideWhenUsed/>
    <w:rsid w:val="00427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rveraudit.com" TargetMode="External"/><Relationship Id="rId5" Type="http://schemas.openxmlformats.org/officeDocument/2006/relationships/hyperlink" Target="http://www.serveraud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Sreejith Sreedhar</dc:creator>
  <cp:keywords/>
  <dc:description/>
  <cp:lastModifiedBy>Sreejith Sreedhar</cp:lastModifiedBy>
  <cp:revision>1</cp:revision>
  <dcterms:created xsi:type="dcterms:W3CDTF">2025-11-02T08:36:00Z</dcterms:created>
  <dcterms:modified xsi:type="dcterms:W3CDTF">2025-11-02T08:49:00Z</dcterms:modified>
</cp:coreProperties>
</file>